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04593" w14:textId="77777777" w:rsidR="008537E7" w:rsidRDefault="008537E7">
      <w:pPr>
        <w:spacing w:line="21" w:lineRule="exact"/>
        <w:ind w:left="2829"/>
        <w:rPr>
          <w:rFonts w:ascii="Times New Roman" w:hAnsi="Times New Roman"/>
          <w:sz w:val="2"/>
          <w:szCs w:val="2"/>
        </w:rPr>
      </w:pPr>
    </w:p>
    <w:p w14:paraId="5E09FD08" w14:textId="77777777" w:rsidR="008537E7" w:rsidRDefault="00311533" w:rsidP="005C5404">
      <w:pPr>
        <w:pStyle w:val="Title"/>
        <w:rPr>
          <w:bCs/>
        </w:rPr>
      </w:pPr>
      <w:r>
        <w:t>Introduction to California</w:t>
      </w:r>
      <w:r>
        <w:rPr>
          <w:spacing w:val="-8"/>
        </w:rPr>
        <w:t xml:space="preserve"> </w:t>
      </w:r>
      <w:r>
        <w:t>Citation</w:t>
      </w:r>
    </w:p>
    <w:p w14:paraId="403CF3A6" w14:textId="77777777" w:rsidR="00B056BC" w:rsidRDefault="00311533" w:rsidP="004B2E9D">
      <w:pPr>
        <w:pStyle w:val="Subtitle"/>
        <w:sectPr w:rsidR="00B056BC" w:rsidSect="00B056B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cols w:space="720"/>
          <w:titlePg/>
          <w:docGrid w:linePitch="299"/>
        </w:sectPr>
      </w:pPr>
      <w:r>
        <w:t>California Style</w:t>
      </w:r>
      <w:r>
        <w:rPr>
          <w:spacing w:val="-8"/>
        </w:rPr>
        <w:t xml:space="preserve"> </w:t>
      </w:r>
      <w:r>
        <w:t>Manual, The “Yellow</w:t>
      </w:r>
      <w:r>
        <w:rPr>
          <w:spacing w:val="-11"/>
        </w:rPr>
        <w:t xml:space="preserve"> </w:t>
      </w:r>
      <w:r>
        <w:t>Book”</w:t>
      </w:r>
    </w:p>
    <w:p w14:paraId="7D5BF5AD" w14:textId="77777777" w:rsidR="005C5404" w:rsidRDefault="00311533" w:rsidP="00B056BC">
      <w:pPr>
        <w:pBdr>
          <w:bottom w:val="single" w:sz="4" w:space="1" w:color="auto"/>
          <w:between w:val="single" w:sz="4" w:space="1" w:color="auto"/>
        </w:pBdr>
        <w:spacing w:before="120" w:after="0"/>
        <w:rPr>
          <w:u w:val="single" w:color="000000"/>
        </w:rPr>
      </w:pPr>
      <w:r>
        <w:t>Student</w:t>
      </w:r>
      <w:r w:rsidR="00B056BC">
        <w:t xml:space="preserve"> </w:t>
      </w:r>
      <w:r>
        <w:t>Name:</w:t>
      </w:r>
    </w:p>
    <w:p w14:paraId="4BECEDE6" w14:textId="77777777" w:rsidR="005C5404" w:rsidRPr="005C5404" w:rsidRDefault="005C5404" w:rsidP="00B056BC">
      <w:pPr>
        <w:pBdr>
          <w:bottom w:val="single" w:sz="4" w:space="1" w:color="auto"/>
          <w:between w:val="single" w:sz="4" w:space="1" w:color="auto"/>
        </w:pBdr>
        <w:spacing w:before="120" w:after="0"/>
      </w:pPr>
      <w:r w:rsidRPr="005C5404">
        <w:t>Instructor:</w:t>
      </w:r>
    </w:p>
    <w:p w14:paraId="5B6F7ABA" w14:textId="77777777" w:rsidR="008537E7" w:rsidRDefault="00311533" w:rsidP="00B056BC">
      <w:pPr>
        <w:pBdr>
          <w:bottom w:val="single" w:sz="4" w:space="1" w:color="auto"/>
          <w:between w:val="single" w:sz="4" w:space="1" w:color="auto"/>
        </w:pBdr>
        <w:spacing w:before="120" w:after="0"/>
        <w:rPr>
          <w:spacing w:val="2"/>
        </w:rPr>
      </w:pPr>
      <w:r>
        <w:t>Date:</w:t>
      </w:r>
    </w:p>
    <w:p w14:paraId="5EC41A2B" w14:textId="77777777" w:rsidR="00B056BC" w:rsidRDefault="005C5404" w:rsidP="00B056BC">
      <w:pPr>
        <w:pBdr>
          <w:bottom w:val="single" w:sz="4" w:space="1" w:color="auto"/>
          <w:between w:val="single" w:sz="4" w:space="1" w:color="auto"/>
        </w:pBdr>
        <w:spacing w:before="120" w:after="0"/>
        <w:rPr>
          <w:spacing w:val="2"/>
        </w:rPr>
        <w:sectPr w:rsidR="00B056BC" w:rsidSect="00B056BC">
          <w:type w:val="continuous"/>
          <w:pgSz w:w="12240" w:h="15840"/>
          <w:pgMar w:top="1440" w:right="1080" w:bottom="1440" w:left="1080" w:header="743" w:footer="1326" w:gutter="0"/>
          <w:cols w:num="2" w:space="288"/>
          <w:docGrid w:linePitch="299"/>
        </w:sectPr>
      </w:pPr>
      <w:r>
        <w:rPr>
          <w:spacing w:val="2"/>
        </w:rPr>
        <w:t>Course:</w:t>
      </w:r>
    </w:p>
    <w:p w14:paraId="242CD357" w14:textId="77777777" w:rsidR="005C5404" w:rsidRDefault="005C5404" w:rsidP="00B056BC">
      <w:pPr>
        <w:pStyle w:val="Heading1"/>
      </w:pPr>
      <w:r>
        <w:t>About This DLA</w:t>
      </w:r>
    </w:p>
    <w:p w14:paraId="66B483C6" w14:textId="77777777" w:rsidR="005C5404" w:rsidRDefault="005C5404" w:rsidP="005C5404">
      <w:pPr>
        <w:pStyle w:val="Heading2"/>
      </w:pPr>
      <w:r>
        <w:t>Important Note</w:t>
      </w:r>
    </w:p>
    <w:p w14:paraId="7DC7D7D0" w14:textId="35018AC5" w:rsidR="00B321B6" w:rsidRDefault="00B321B6" w:rsidP="00B321B6">
      <w:r>
        <w:rPr>
          <w:rFonts w:cs="Segoe UI"/>
          <w:color w:val="000000"/>
          <w:shd w:val="clear" w:color="auto" w:fill="FFFFFF"/>
        </w:rPr>
        <w:t>All the activities (4)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725E9A1C" w14:textId="77777777" w:rsidR="005C5404" w:rsidRDefault="005C5404" w:rsidP="005C5404">
      <w:pPr>
        <w:pStyle w:val="Heading2"/>
      </w:pPr>
      <w:r>
        <w:t>Objective</w:t>
      </w:r>
    </w:p>
    <w:p w14:paraId="324B1DC8" w14:textId="77777777" w:rsidR="008537E7" w:rsidRDefault="00311533" w:rsidP="005C5404">
      <w:pPr>
        <w:rPr>
          <w:rFonts w:hAnsi="Times New Roman"/>
          <w:szCs w:val="24"/>
        </w:rPr>
      </w:pPr>
      <w:r>
        <w:t>An integral part of legal writing is being able give references to the legal sources relied</w:t>
      </w:r>
      <w:r>
        <w:rPr>
          <w:spacing w:val="-26"/>
        </w:rPr>
        <w:t xml:space="preserve"> </w:t>
      </w:r>
      <w:r>
        <w:t>on, whether quoted or paraphrased. This activity takes students through an easy-to-follow,</w:t>
      </w:r>
      <w:r>
        <w:rPr>
          <w:spacing w:val="-18"/>
        </w:rPr>
        <w:t xml:space="preserve"> </w:t>
      </w:r>
      <w:r>
        <w:t>step-by-step</w:t>
      </w:r>
      <w:r>
        <w:rPr>
          <w:spacing w:val="-1"/>
        </w:rPr>
        <w:t xml:space="preserve"> </w:t>
      </w:r>
      <w:r>
        <w:t>process in which students learn how to cite from California legal</w:t>
      </w:r>
      <w:r>
        <w:rPr>
          <w:spacing w:val="-14"/>
        </w:rPr>
        <w:t xml:space="preserve"> </w:t>
      </w:r>
      <w:r>
        <w:t>resources.</w:t>
      </w:r>
    </w:p>
    <w:p w14:paraId="06C25402" w14:textId="77777777" w:rsidR="008537E7" w:rsidRDefault="005C5404" w:rsidP="005C5404">
      <w:pPr>
        <w:pStyle w:val="Heading1"/>
      </w:pPr>
      <w:r>
        <w:t>Understanding California Citation</w:t>
      </w:r>
    </w:p>
    <w:p w14:paraId="681D75BD" w14:textId="77777777" w:rsidR="005C5404" w:rsidRPr="005C5404" w:rsidRDefault="005C5404" w:rsidP="005C5404">
      <w:pPr>
        <w:pBdr>
          <w:top w:val="single" w:sz="4" w:space="1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spacing w:before="32"/>
        <w:rPr>
          <w:rStyle w:val="Strong"/>
        </w:rPr>
      </w:pPr>
      <w:r w:rsidRPr="005C5404">
        <w:rPr>
          <w:rStyle w:val="Strong"/>
        </w:rPr>
        <w:t>There are three ways to use a source</w:t>
      </w:r>
    </w:p>
    <w:p w14:paraId="4D3AC986" w14:textId="77777777" w:rsidR="008537E7" w:rsidRDefault="00311533" w:rsidP="005C5404">
      <w:pPr>
        <w:pStyle w:val="ListNumber"/>
      </w:pPr>
      <w:r w:rsidRPr="005C5404">
        <w:rPr>
          <w:rStyle w:val="Strong"/>
        </w:rPr>
        <w:t>Direct Quotation</w:t>
      </w:r>
      <w:r>
        <w:t xml:space="preserve">: A direct quotation is the use of the author’s </w:t>
      </w:r>
      <w:r>
        <w:rPr>
          <w:i/>
        </w:rPr>
        <w:t xml:space="preserve">exact </w:t>
      </w:r>
      <w:r>
        <w:t>words in your legal document. When</w:t>
      </w:r>
      <w:r>
        <w:rPr>
          <w:spacing w:val="-28"/>
        </w:rPr>
        <w:t xml:space="preserve"> </w:t>
      </w:r>
      <w:r>
        <w:t>you use a direct quotation, indicate this by putting the author’s words in quotation</w:t>
      </w:r>
      <w:r>
        <w:rPr>
          <w:spacing w:val="-16"/>
        </w:rPr>
        <w:t xml:space="preserve"> </w:t>
      </w:r>
      <w:r>
        <w:t>marks.</w:t>
      </w:r>
    </w:p>
    <w:p w14:paraId="6351E8CD" w14:textId="77777777" w:rsidR="008537E7" w:rsidRDefault="00311533" w:rsidP="005C5404">
      <w:pPr>
        <w:pStyle w:val="ListBullet"/>
      </w:pPr>
      <w:r>
        <w:t>Example: According to the California Supreme Court, “To establish a violation of the</w:t>
      </w:r>
      <w:r>
        <w:rPr>
          <w:spacing w:val="-20"/>
        </w:rPr>
        <w:t xml:space="preserve"> </w:t>
      </w:r>
      <w:r>
        <w:t>Fourth Amendment, the defendant must show either (1) a physical intrusion onto defendant’s personal</w:t>
      </w:r>
      <w:r>
        <w:rPr>
          <w:spacing w:val="-30"/>
        </w:rPr>
        <w:t xml:space="preserve"> </w:t>
      </w:r>
      <w:r>
        <w:t>property; or (2) a violation of a defendant’s reasonable expectation of</w:t>
      </w:r>
      <w:r>
        <w:rPr>
          <w:spacing w:val="-20"/>
        </w:rPr>
        <w:t xml:space="preserve"> </w:t>
      </w:r>
      <w:r>
        <w:t>privacy.”</w:t>
      </w:r>
    </w:p>
    <w:p w14:paraId="585CF97B" w14:textId="77777777" w:rsidR="008537E7" w:rsidRDefault="00311533" w:rsidP="005C5404">
      <w:pPr>
        <w:pStyle w:val="ListNumber"/>
        <w:rPr>
          <w:rFonts w:hAnsi="Times New Roman"/>
        </w:rPr>
      </w:pPr>
      <w:r w:rsidRPr="005C5404">
        <w:rPr>
          <w:rStyle w:val="Strong"/>
        </w:rPr>
        <w:t>Summary</w:t>
      </w:r>
      <w:r>
        <w:t>: When using a summary in your legal document, you condense a lengthy source to just a</w:t>
      </w:r>
      <w:r>
        <w:rPr>
          <w:spacing w:val="-22"/>
        </w:rPr>
        <w:t xml:space="preserve"> </w:t>
      </w:r>
      <w:r>
        <w:t>few sentences or a short paragraph of your own words. If you use any words from the source in your</w:t>
      </w:r>
      <w:r>
        <w:rPr>
          <w:spacing w:val="-29"/>
        </w:rPr>
        <w:t xml:space="preserve"> </w:t>
      </w:r>
      <w:r>
        <w:t>summary, you must put those words in quotation marks.</w:t>
      </w:r>
    </w:p>
    <w:p w14:paraId="01DBCAF0" w14:textId="77777777" w:rsidR="008537E7" w:rsidRDefault="00311533" w:rsidP="005C5404">
      <w:pPr>
        <w:pStyle w:val="ListBullet"/>
      </w:pPr>
      <w:r>
        <w:t xml:space="preserve">Example: In </w:t>
      </w:r>
      <w:r>
        <w:rPr>
          <w:i/>
        </w:rPr>
        <w:t xml:space="preserve">Garcia v. Jones </w:t>
      </w:r>
      <w:r>
        <w:t>the California Court of Appeal held that the real estate broker had broken</w:t>
      </w:r>
      <w:r>
        <w:rPr>
          <w:spacing w:val="-31"/>
        </w:rPr>
        <w:t xml:space="preserve"> </w:t>
      </w:r>
      <w:r>
        <w:t>his fiduciary duty by failing to disclose the presence of radon gas in the home or the presence of a crack</w:t>
      </w:r>
      <w:r>
        <w:rPr>
          <w:spacing w:val="21"/>
        </w:rPr>
        <w:t xml:space="preserve"> </w:t>
      </w:r>
      <w:r>
        <w:t>in the home’s</w:t>
      </w:r>
      <w:r>
        <w:rPr>
          <w:spacing w:val="-2"/>
        </w:rPr>
        <w:t xml:space="preserve"> </w:t>
      </w:r>
      <w:r>
        <w:t>foundation.</w:t>
      </w:r>
    </w:p>
    <w:p w14:paraId="68051833" w14:textId="77777777" w:rsidR="008537E7" w:rsidRPr="005C5404" w:rsidRDefault="00311533" w:rsidP="005C5404">
      <w:pPr>
        <w:rPr>
          <w:rStyle w:val="Emphasis"/>
        </w:rPr>
      </w:pPr>
      <w:r w:rsidRPr="005C5404">
        <w:rPr>
          <w:rStyle w:val="Emphasis"/>
        </w:rPr>
        <w:t>For further information and practice on summarization, please refer to the Summary Skills for Academic Writing DLA.</w:t>
      </w:r>
    </w:p>
    <w:p w14:paraId="267E5385" w14:textId="77777777" w:rsidR="008537E7" w:rsidRDefault="00311533" w:rsidP="005C5404">
      <w:pPr>
        <w:pStyle w:val="ListNumber"/>
      </w:pPr>
      <w:r w:rsidRPr="005F0C1C">
        <w:rPr>
          <w:rStyle w:val="Strong"/>
        </w:rPr>
        <w:lastRenderedPageBreak/>
        <w:t>Paraphrase</w:t>
      </w:r>
      <w:r>
        <w:t>: Paraphrasing is somewhat similar to summarizing; you put a source’s ideas into your own</w:t>
      </w:r>
      <w:r>
        <w:rPr>
          <w:spacing w:val="-28"/>
        </w:rPr>
        <w:t xml:space="preserve"> </w:t>
      </w:r>
      <w:r>
        <w:t>words. The main difference, though, is that a paraphrase is around the same length as the original source while</w:t>
      </w:r>
      <w:r>
        <w:rPr>
          <w:spacing w:val="-24"/>
        </w:rPr>
        <w:t xml:space="preserve"> </w:t>
      </w:r>
      <w:r>
        <w:t>a summary is a shortened version of a</w:t>
      </w:r>
      <w:r>
        <w:rPr>
          <w:spacing w:val="-5"/>
        </w:rPr>
        <w:t xml:space="preserve"> </w:t>
      </w:r>
      <w:r>
        <w:t>source.</w:t>
      </w:r>
    </w:p>
    <w:p w14:paraId="5756CA84" w14:textId="77777777" w:rsidR="008537E7" w:rsidRDefault="00311533" w:rsidP="005F0C1C">
      <w:pPr>
        <w:pStyle w:val="ListBullet"/>
        <w:rPr>
          <w:rFonts w:ascii="Times New Roman" w:hAnsi="Times New Roman"/>
          <w:sz w:val="20"/>
          <w:szCs w:val="20"/>
        </w:rPr>
      </w:pPr>
      <w:r>
        <w:t>Original Source: “In this case we are asked to determine the applicable statute of limitations when a</w:t>
      </w:r>
      <w:r>
        <w:rPr>
          <w:spacing w:val="-24"/>
        </w:rPr>
        <w:t xml:space="preserve"> </w:t>
      </w:r>
      <w:r>
        <w:t>bank honors a depositor’s check, fails to debit the depositor’s account, and subsequently seeks repayment.</w:t>
      </w:r>
      <w:r>
        <w:rPr>
          <w:spacing w:val="27"/>
        </w:rPr>
        <w:t xml:space="preserve"> </w:t>
      </w:r>
      <w:r>
        <w:t>We hold that the case is governed by Code of Civil Procedure section 338, subdivision (d) (hereinafter</w:t>
      </w:r>
      <w:r>
        <w:rPr>
          <w:spacing w:val="-22"/>
        </w:rPr>
        <w:t xml:space="preserve"> </w:t>
      </w:r>
      <w:r>
        <w:t>section 338(d)), which provides for a three-year statute of limitations in an action for relief on the ground of</w:t>
      </w:r>
      <w:r>
        <w:rPr>
          <w:spacing w:val="-29"/>
        </w:rPr>
        <w:t xml:space="preserve"> </w:t>
      </w:r>
      <w:r>
        <w:t>fraud or</w:t>
      </w:r>
      <w:r>
        <w:rPr>
          <w:spacing w:val="-1"/>
        </w:rPr>
        <w:t xml:space="preserve"> </w:t>
      </w:r>
      <w:r>
        <w:t>mistake.”</w:t>
      </w:r>
    </w:p>
    <w:p w14:paraId="37A40272" w14:textId="77777777" w:rsidR="008537E7" w:rsidRDefault="00311533" w:rsidP="005F0C1C">
      <w:pPr>
        <w:pStyle w:val="ListBullet"/>
      </w:pPr>
      <w:r>
        <w:t>Example Paraphrase: The issue in the case was the appropriate statute of limitations when a bank</w:t>
      </w:r>
      <w:r>
        <w:rPr>
          <w:spacing w:val="-29"/>
        </w:rPr>
        <w:t xml:space="preserve"> </w:t>
      </w:r>
      <w:r>
        <w:t>seeks repayment when it has failed to debit a depositor’s account for a check it has honored. The court held</w:t>
      </w:r>
      <w:r>
        <w:rPr>
          <w:spacing w:val="-34"/>
        </w:rPr>
        <w:t xml:space="preserve"> </w:t>
      </w:r>
      <w:r>
        <w:t>that the three-year statute of limitations specified in Code of Civil Procedure section 338 subsection</w:t>
      </w:r>
      <w:r>
        <w:rPr>
          <w:spacing w:val="-18"/>
        </w:rPr>
        <w:t xml:space="preserve"> </w:t>
      </w:r>
      <w:r>
        <w:t>(d) applied.</w:t>
      </w:r>
    </w:p>
    <w:p w14:paraId="29FE96BF" w14:textId="77777777" w:rsidR="004B2E9D" w:rsidRPr="004B2E9D" w:rsidRDefault="004B2E9D" w:rsidP="004B2E9D">
      <w:pPr>
        <w:pBdr>
          <w:top w:val="single" w:sz="4" w:space="1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rPr>
          <w:rStyle w:val="Strong"/>
        </w:rPr>
      </w:pPr>
      <w:r w:rsidRPr="004B2E9D">
        <w:rPr>
          <w:rStyle w:val="Strong"/>
        </w:rPr>
        <w:t>After you have decided which way you will use the source, create a signal phrase (shown in the examples above also).</w:t>
      </w:r>
    </w:p>
    <w:p w14:paraId="26E9F43B" w14:textId="77777777" w:rsidR="008537E7" w:rsidRDefault="00311533" w:rsidP="004B2E9D">
      <w:r>
        <w:t>The signal phrase alerts your readers that a source is coming, whether it’s a quotation, summary, or</w:t>
      </w:r>
      <w:r>
        <w:rPr>
          <w:spacing w:val="-27"/>
        </w:rPr>
        <w:t xml:space="preserve"> </w:t>
      </w:r>
      <w:r>
        <w:t>paraphrase. Usually, the signal phrase mentions the author and/or text of the source you are using (Hacker 508). Here</w:t>
      </w:r>
      <w:r>
        <w:rPr>
          <w:spacing w:val="-26"/>
        </w:rPr>
        <w:t xml:space="preserve"> </w:t>
      </w:r>
      <w:r>
        <w:t>are some</w:t>
      </w:r>
      <w:r>
        <w:rPr>
          <w:spacing w:val="-3"/>
        </w:rPr>
        <w:t xml:space="preserve"> </w:t>
      </w:r>
      <w:r>
        <w:t>examples:</w:t>
      </w:r>
    </w:p>
    <w:p w14:paraId="784B42E9" w14:textId="77777777" w:rsidR="008537E7" w:rsidRDefault="00311533" w:rsidP="004B2E9D">
      <w:pPr>
        <w:pStyle w:val="ListBullet"/>
      </w:pPr>
      <w:r w:rsidRPr="004B2E9D">
        <w:rPr>
          <w:b/>
        </w:rPr>
        <w:t xml:space="preserve">According to </w:t>
      </w:r>
      <w:r w:rsidRPr="004B2E9D">
        <w:rPr>
          <w:b/>
          <w:i/>
        </w:rPr>
        <w:t>Vallejo v. Bronson</w:t>
      </w:r>
      <w:r w:rsidRPr="004B2E9D">
        <w:rPr>
          <w:b/>
        </w:rPr>
        <w:t>,</w:t>
      </w:r>
      <w:r>
        <w:rPr>
          <w:u w:val="single" w:color="000000"/>
        </w:rPr>
        <w:t xml:space="preserve"> </w:t>
      </w:r>
      <w:r>
        <w:t>benefit of the bargain damages may be calculated as of the date of</w:t>
      </w:r>
      <w:r>
        <w:rPr>
          <w:spacing w:val="-26"/>
        </w:rPr>
        <w:t xml:space="preserve"> </w:t>
      </w:r>
      <w:r>
        <w:t>the discovered</w:t>
      </w:r>
      <w:r>
        <w:rPr>
          <w:spacing w:val="-4"/>
        </w:rPr>
        <w:t xml:space="preserve"> </w:t>
      </w:r>
      <w:r>
        <w:t>fraud.</w:t>
      </w:r>
    </w:p>
    <w:p w14:paraId="7A52EFC8" w14:textId="77777777" w:rsidR="008537E7" w:rsidRPr="004B2E9D" w:rsidRDefault="00311533" w:rsidP="004B2E9D">
      <w:pPr>
        <w:pStyle w:val="ListBullet"/>
        <w:rPr>
          <w:b/>
        </w:rPr>
      </w:pPr>
      <w:r>
        <w:t>California lawyers must comply with all of the rules contained within the California Rules of</w:t>
      </w:r>
      <w:r>
        <w:rPr>
          <w:spacing w:val="-33"/>
        </w:rPr>
        <w:t xml:space="preserve"> </w:t>
      </w:r>
      <w:r>
        <w:t xml:space="preserve">Professional Conduct, </w:t>
      </w:r>
      <w:r w:rsidRPr="004B2E9D">
        <w:rPr>
          <w:b/>
        </w:rPr>
        <w:t>according to the California Supreme</w:t>
      </w:r>
      <w:r w:rsidRPr="004B2E9D">
        <w:rPr>
          <w:b/>
          <w:spacing w:val="-13"/>
        </w:rPr>
        <w:t xml:space="preserve"> </w:t>
      </w:r>
      <w:r w:rsidRPr="004B2E9D">
        <w:rPr>
          <w:b/>
        </w:rPr>
        <w:t>Court.</w:t>
      </w:r>
    </w:p>
    <w:p w14:paraId="5AC5D7B2" w14:textId="77777777" w:rsidR="008537E7" w:rsidRDefault="00311533" w:rsidP="004B2E9D">
      <w:r>
        <w:t>Here are some common verbs in signal phrases (Hacker 509). Choose the tense for your signal phrase verb</w:t>
      </w:r>
      <w:r>
        <w:rPr>
          <w:spacing w:val="-31"/>
        </w:rPr>
        <w:t xml:space="preserve"> </w:t>
      </w:r>
      <w:r>
        <w:t>based on the citation style you are</w:t>
      </w:r>
      <w:r>
        <w:rPr>
          <w:spacing w:val="-8"/>
        </w:rPr>
        <w:t xml:space="preserve"> </w:t>
      </w:r>
      <w:r>
        <w:t>using.</w:t>
      </w:r>
    </w:p>
    <w:p w14:paraId="72F0B43B" w14:textId="77777777" w:rsidR="008537E7" w:rsidRDefault="00311533" w:rsidP="004B2E9D">
      <w:pPr>
        <w:ind w:left="1440" w:right="1440"/>
      </w:pPr>
      <w:r w:rsidRPr="009A299C">
        <w:rPr>
          <w:rStyle w:val="Strong"/>
        </w:rPr>
        <w:t>Analytical and Informative:</w:t>
      </w:r>
      <w:r>
        <w:t xml:space="preserve"> comments, notes, reports, observes, responds, points out, suggests,</w:t>
      </w:r>
      <w:r>
        <w:rPr>
          <w:spacing w:val="-30"/>
        </w:rPr>
        <w:t xml:space="preserve"> </w:t>
      </w:r>
      <w:r>
        <w:t>implies, compares, illustrates, adds,</w:t>
      </w:r>
      <w:r>
        <w:rPr>
          <w:spacing w:val="-11"/>
        </w:rPr>
        <w:t xml:space="preserve"> </w:t>
      </w:r>
      <w:r>
        <w:t>writes</w:t>
      </w:r>
    </w:p>
    <w:p w14:paraId="173F4335" w14:textId="77777777" w:rsidR="008537E7" w:rsidRDefault="00311533" w:rsidP="009A299C">
      <w:pPr>
        <w:ind w:left="1440" w:right="1440"/>
      </w:pPr>
      <w:r w:rsidRPr="009A299C">
        <w:rPr>
          <w:rStyle w:val="Strong"/>
        </w:rPr>
        <w:t>Argumentative:</w:t>
      </w:r>
      <w:r>
        <w:t xml:space="preserve"> admits, argues, claims, declares, disputes, insists, rejects, asserts, contends, reasons,</w:t>
      </w:r>
      <w:r>
        <w:rPr>
          <w:spacing w:val="-32"/>
        </w:rPr>
        <w:t xml:space="preserve"> </w:t>
      </w:r>
      <w:r>
        <w:t>thinks, denies, refutes, grants, agrees, acknowledges, emphasizes, believes, confirms,</w:t>
      </w:r>
      <w:r>
        <w:rPr>
          <w:spacing w:val="-31"/>
        </w:rPr>
        <w:t xml:space="preserve"> </w:t>
      </w:r>
      <w:r>
        <w:t>endorses</w:t>
      </w:r>
    </w:p>
    <w:p w14:paraId="710200D2" w14:textId="77777777" w:rsidR="008537E7" w:rsidRDefault="00311533" w:rsidP="009A299C">
      <w:r>
        <w:t>A signal phrase may also give context to the source you are using (Hacker 508). Here are some</w:t>
      </w:r>
      <w:r>
        <w:rPr>
          <w:spacing w:val="-32"/>
        </w:rPr>
        <w:t xml:space="preserve"> </w:t>
      </w:r>
      <w:r>
        <w:t>examples:</w:t>
      </w:r>
    </w:p>
    <w:p w14:paraId="74E67DCF" w14:textId="77777777" w:rsidR="008537E7" w:rsidRDefault="00311533" w:rsidP="009A299C">
      <w:pPr>
        <w:pStyle w:val="ListBullet"/>
      </w:pPr>
      <w:r w:rsidRPr="009A299C">
        <w:rPr>
          <w:b/>
        </w:rPr>
        <w:t>The judge disagreed with the outcome of the case, writing,</w:t>
      </w:r>
      <w:r>
        <w:rPr>
          <w:u w:val="single" w:color="000000"/>
        </w:rPr>
        <w:t xml:space="preserve"> </w:t>
      </w:r>
      <w:r>
        <w:t>“The court is left with no other choice,</w:t>
      </w:r>
      <w:r>
        <w:rPr>
          <w:spacing w:val="-29"/>
        </w:rPr>
        <w:t xml:space="preserve"> </w:t>
      </w:r>
      <w:r>
        <w:t>given the express language of the statute. The court encourages the legislature to revisit the statute and</w:t>
      </w:r>
      <w:r>
        <w:rPr>
          <w:spacing w:val="-24"/>
        </w:rPr>
        <w:t xml:space="preserve"> </w:t>
      </w:r>
      <w:r>
        <w:t>consider amending it.”</w:t>
      </w:r>
    </w:p>
    <w:p w14:paraId="4975626A" w14:textId="77777777" w:rsidR="008537E7" w:rsidRDefault="00311533" w:rsidP="009A299C">
      <w:pPr>
        <w:pStyle w:val="ListBullet"/>
      </w:pPr>
      <w:r w:rsidRPr="00A027EF">
        <w:rPr>
          <w:b/>
        </w:rPr>
        <w:t>It is unclear what the victim died from:</w:t>
      </w:r>
      <w:r w:rsidRPr="00A027EF">
        <w:rPr>
          <w:u w:color="000000"/>
        </w:rPr>
        <w:t xml:space="preserve"> </w:t>
      </w:r>
      <w:r>
        <w:t>“blunt force trauma to the head” or</w:t>
      </w:r>
      <w:r>
        <w:rPr>
          <w:spacing w:val="-20"/>
        </w:rPr>
        <w:t xml:space="preserve"> </w:t>
      </w:r>
      <w:r>
        <w:t>asphyxiation.</w:t>
      </w:r>
    </w:p>
    <w:p w14:paraId="374D4BDC" w14:textId="77777777" w:rsidR="00B056BC" w:rsidRDefault="00B056BC" w:rsidP="00B056BC">
      <w:pPr>
        <w:pStyle w:val="Heading1"/>
      </w:pPr>
      <w:r>
        <w:t>Activities</w:t>
      </w:r>
    </w:p>
    <w:p w14:paraId="2B63F81C" w14:textId="77777777" w:rsidR="008537E7" w:rsidRDefault="00311533" w:rsidP="00B056BC">
      <w:r>
        <w:t>Complete the steps below and check off each box once</w:t>
      </w:r>
      <w:r>
        <w:rPr>
          <w:spacing w:val="-23"/>
        </w:rPr>
        <w:t xml:space="preserve"> </w:t>
      </w:r>
      <w:r>
        <w:t>you have completed the</w:t>
      </w:r>
      <w:r>
        <w:rPr>
          <w:spacing w:val="-7"/>
        </w:rPr>
        <w:t xml:space="preserve"> </w:t>
      </w:r>
      <w:r>
        <w:t>activity.</w:t>
      </w:r>
    </w:p>
    <w:p w14:paraId="35322510" w14:textId="77777777" w:rsidR="00DA2349" w:rsidRDefault="00A30DCA" w:rsidP="00A027EF">
      <w:pPr>
        <w:pStyle w:val="Heading2"/>
        <w:rPr>
          <w:rFonts w:hAnsi="Times New Roman"/>
          <w:szCs w:val="24"/>
        </w:rPr>
      </w:pPr>
      <w:sdt>
        <w:sdtPr>
          <w:rPr>
            <w:i w:val="0"/>
          </w:rPr>
          <w:id w:val="-196735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7EF" w:rsidRPr="00A027E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A027EF">
        <w:t xml:space="preserve"> 1. </w:t>
      </w:r>
      <w:r w:rsidR="00DA2349">
        <w:t>Introduce a Quote with a Signal Phrase</w:t>
      </w:r>
    </w:p>
    <w:p w14:paraId="5FC496F3" w14:textId="6E9AB9FE" w:rsidR="008537E7" w:rsidRDefault="00A027EF" w:rsidP="00A027EF">
      <w:r>
        <w:t>G</w:t>
      </w:r>
      <w:r w:rsidRPr="001003AD">
        <w:t xml:space="preserve">o to </w:t>
      </w:r>
      <w:r>
        <w:t xml:space="preserve">the </w:t>
      </w:r>
      <w:hyperlink r:id="rId17" w:history="1">
        <w:r w:rsidRPr="00E717EC">
          <w:rPr>
            <w:rStyle w:val="Hyperlink"/>
          </w:rPr>
          <w:t>Mt. SAC Library website</w:t>
        </w:r>
      </w:hyperlink>
      <w:r>
        <w:t xml:space="preserve"> at http://www.mtsac.edu/library and access the database “Westlaw.”  Click on the State Materials tab, then on “California” and then on “All California State Cases.” </w:t>
      </w:r>
      <w:r w:rsidR="00311533" w:rsidRPr="00A027EF">
        <w:t xml:space="preserve">In the search box type “In re Glass” and click search. The top case should be </w:t>
      </w:r>
      <w:r w:rsidR="00311533" w:rsidRPr="00A027EF">
        <w:rPr>
          <w:i/>
        </w:rPr>
        <w:t>In re</w:t>
      </w:r>
      <w:r w:rsidR="00311533" w:rsidRPr="00A027EF">
        <w:rPr>
          <w:i/>
          <w:spacing w:val="-29"/>
        </w:rPr>
        <w:t xml:space="preserve"> </w:t>
      </w:r>
      <w:r w:rsidR="00311533" w:rsidRPr="00A027EF">
        <w:rPr>
          <w:i/>
        </w:rPr>
        <w:t>Glass</w:t>
      </w:r>
      <w:r w:rsidR="00311533" w:rsidRPr="00A027EF">
        <w:t>. Click on it. Scroll down past the word “Opinion.” Choose a passage from the text to directly quote</w:t>
      </w:r>
      <w:r w:rsidR="00311533" w:rsidRPr="00A027EF">
        <w:rPr>
          <w:spacing w:val="-26"/>
        </w:rPr>
        <w:t xml:space="preserve"> </w:t>
      </w:r>
      <w:r w:rsidR="00311533" w:rsidRPr="00A027EF">
        <w:t>and</w:t>
      </w:r>
      <w:r w:rsidR="00311533" w:rsidRPr="00A027EF">
        <w:rPr>
          <w:spacing w:val="-3"/>
        </w:rPr>
        <w:t xml:space="preserve"> </w:t>
      </w:r>
      <w:r w:rsidR="00311533" w:rsidRPr="00A027EF">
        <w:t>write it in the space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quotation"/>
      </w:tblPr>
      <w:tblGrid>
        <w:gridCol w:w="10070"/>
      </w:tblGrid>
      <w:tr w:rsidR="00406444" w:rsidRPr="00406444" w14:paraId="0CEFAA80" w14:textId="77777777" w:rsidTr="0040644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13DFD4B4" w14:textId="77777777" w:rsidR="00406444" w:rsidRPr="00406444" w:rsidRDefault="00406444" w:rsidP="00A027EF">
            <w:pPr>
              <w:rPr>
                <w:color w:val="FFFFFF" w:themeColor="background1"/>
                <w:sz w:val="4"/>
              </w:rPr>
            </w:pPr>
            <w:r w:rsidRPr="00406444">
              <w:rPr>
                <w:color w:val="FFFFFF" w:themeColor="background1"/>
                <w:sz w:val="4"/>
              </w:rPr>
              <w:t>Write the quotation</w:t>
            </w:r>
          </w:p>
        </w:tc>
      </w:tr>
      <w:tr w:rsidR="00406444" w14:paraId="21DB2879" w14:textId="77777777" w:rsidTr="00406444">
        <w:trPr>
          <w:trHeight w:val="144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16CB150" w14:textId="77777777" w:rsidR="00406444" w:rsidRPr="00406444" w:rsidRDefault="00406444" w:rsidP="00A027EF">
            <w:pPr>
              <w:rPr>
                <w:sz w:val="4"/>
              </w:rPr>
            </w:pPr>
          </w:p>
        </w:tc>
      </w:tr>
      <w:tr w:rsidR="00406444" w14:paraId="47858393" w14:textId="77777777" w:rsidTr="0040644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6FAC7EB3" w14:textId="77777777" w:rsidR="00406444" w:rsidRDefault="00406444" w:rsidP="00A027EF"/>
        </w:tc>
      </w:tr>
      <w:tr w:rsidR="00406444" w14:paraId="1C67A08A" w14:textId="77777777" w:rsidTr="0040644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681583A1" w14:textId="77777777" w:rsidR="00406444" w:rsidRDefault="00406444" w:rsidP="00A027EF"/>
        </w:tc>
      </w:tr>
    </w:tbl>
    <w:p w14:paraId="4E869AEF" w14:textId="77777777" w:rsidR="008537E7" w:rsidRDefault="00311533" w:rsidP="00406444">
      <w:pPr>
        <w:spacing w:before="240"/>
      </w:pPr>
      <w:r w:rsidRPr="00406444">
        <w:t>Then create a signal phrase to introduce this quote and write it in the space</w:t>
      </w:r>
      <w:r w:rsidRPr="00406444">
        <w:rPr>
          <w:spacing w:val="-13"/>
        </w:rPr>
        <w:t xml:space="preserve"> </w:t>
      </w:r>
      <w:r w:rsidRPr="00406444">
        <w:t>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signal phrase"/>
      </w:tblPr>
      <w:tblGrid>
        <w:gridCol w:w="10070"/>
      </w:tblGrid>
      <w:tr w:rsidR="00406444" w:rsidRPr="00406444" w14:paraId="237C4B68" w14:textId="77777777" w:rsidTr="00313FE8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1CF2A3A2" w14:textId="77777777" w:rsidR="00406444" w:rsidRPr="00406444" w:rsidRDefault="00406444" w:rsidP="00406444">
            <w:pPr>
              <w:rPr>
                <w:color w:val="FFFFFF" w:themeColor="background1"/>
                <w:sz w:val="4"/>
              </w:rPr>
            </w:pPr>
            <w:r w:rsidRPr="00406444">
              <w:rPr>
                <w:color w:val="FFFFFF" w:themeColor="background1"/>
                <w:sz w:val="4"/>
              </w:rPr>
              <w:t>Write a signal phrase</w:t>
            </w:r>
          </w:p>
        </w:tc>
      </w:tr>
      <w:tr w:rsidR="00406444" w14:paraId="3C263DC7" w14:textId="77777777" w:rsidTr="00406444">
        <w:trPr>
          <w:trHeight w:val="144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7265882E" w14:textId="77777777" w:rsidR="00406444" w:rsidRPr="00406444" w:rsidRDefault="00406444" w:rsidP="00406444">
            <w:pPr>
              <w:rPr>
                <w:sz w:val="4"/>
              </w:rPr>
            </w:pPr>
          </w:p>
        </w:tc>
      </w:tr>
      <w:tr w:rsidR="00406444" w14:paraId="47B9048F" w14:textId="77777777" w:rsidTr="0040644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21CD8E1" w14:textId="77777777" w:rsidR="00406444" w:rsidRDefault="00406444" w:rsidP="00406444"/>
        </w:tc>
      </w:tr>
    </w:tbl>
    <w:p w14:paraId="1FF0AD1B" w14:textId="77777777" w:rsidR="008537E7" w:rsidRDefault="00311533" w:rsidP="00313FE8">
      <w:pPr>
        <w:spacing w:before="240"/>
      </w:pPr>
      <w:r w:rsidRPr="00313FE8">
        <w:t>Now put the signal phrase and quote 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the signal phrase and quote"/>
      </w:tblPr>
      <w:tblGrid>
        <w:gridCol w:w="10070"/>
      </w:tblGrid>
      <w:tr w:rsidR="00313FE8" w:rsidRPr="00313FE8" w14:paraId="44490DE8" w14:textId="77777777" w:rsidTr="00313FE8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F2D9F66" w14:textId="77777777" w:rsidR="00313FE8" w:rsidRPr="00313FE8" w:rsidRDefault="00313FE8" w:rsidP="00313FE8">
            <w:pPr>
              <w:rPr>
                <w:color w:val="FFFFFF" w:themeColor="background1"/>
                <w:sz w:val="4"/>
              </w:rPr>
            </w:pPr>
            <w:r w:rsidRPr="00313FE8">
              <w:rPr>
                <w:color w:val="FFFFFF" w:themeColor="background1"/>
                <w:sz w:val="4"/>
              </w:rPr>
              <w:t>Write the signal phrase and quote</w:t>
            </w:r>
          </w:p>
        </w:tc>
      </w:tr>
      <w:tr w:rsidR="00313FE8" w14:paraId="4A89E029" w14:textId="77777777" w:rsidTr="00313FE8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1A74EE1" w14:textId="77777777" w:rsidR="00313FE8" w:rsidRPr="00313FE8" w:rsidRDefault="00313FE8" w:rsidP="00313FE8">
            <w:pPr>
              <w:rPr>
                <w:sz w:val="4"/>
              </w:rPr>
            </w:pPr>
          </w:p>
        </w:tc>
      </w:tr>
      <w:tr w:rsidR="00313FE8" w14:paraId="3244B0E7" w14:textId="77777777" w:rsidTr="00313FE8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669573E" w14:textId="77777777" w:rsidR="00313FE8" w:rsidRDefault="00313FE8" w:rsidP="00313FE8"/>
        </w:tc>
      </w:tr>
      <w:tr w:rsidR="00313FE8" w14:paraId="0363A100" w14:textId="77777777" w:rsidTr="00313FE8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0435D6C" w14:textId="77777777" w:rsidR="00313FE8" w:rsidRDefault="00313FE8" w:rsidP="00313FE8"/>
        </w:tc>
      </w:tr>
      <w:tr w:rsidR="00313FE8" w14:paraId="26509669" w14:textId="77777777" w:rsidTr="00313FE8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0242949" w14:textId="77777777" w:rsidR="00313FE8" w:rsidRDefault="00313FE8" w:rsidP="00313FE8"/>
        </w:tc>
      </w:tr>
    </w:tbl>
    <w:p w14:paraId="7CA6F928" w14:textId="77777777" w:rsidR="00313FE8" w:rsidRDefault="00A30DCA" w:rsidP="00313FE8">
      <w:pPr>
        <w:pStyle w:val="Heading2"/>
      </w:pPr>
      <w:sdt>
        <w:sdtPr>
          <w:rPr>
            <w:i w:val="0"/>
          </w:rPr>
          <w:id w:val="71732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E8" w:rsidRPr="00313FE8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313FE8">
        <w:t xml:space="preserve"> 2. Write a Paraphrase 1</w:t>
      </w:r>
    </w:p>
    <w:p w14:paraId="2CB16A85" w14:textId="77777777" w:rsidR="008537E7" w:rsidRPr="00313FE8" w:rsidRDefault="00311533" w:rsidP="00313FE8">
      <w:pPr>
        <w:rPr>
          <w:rFonts w:hAnsi="Times New Roman"/>
        </w:rPr>
      </w:pPr>
      <w:r w:rsidRPr="00313FE8">
        <w:t>Next write a paraphrase of the following passage. Try not to look back at the original</w:t>
      </w:r>
      <w:r w:rsidRPr="00313FE8">
        <w:rPr>
          <w:spacing w:val="-18"/>
        </w:rPr>
        <w:t xml:space="preserve"> </w:t>
      </w:r>
      <w:r w:rsidRPr="00313FE8">
        <w:t>passage.</w:t>
      </w:r>
    </w:p>
    <w:p w14:paraId="2D5034E1" w14:textId="77777777" w:rsidR="008537E7" w:rsidRDefault="00311533" w:rsidP="003E327B">
      <w:pPr>
        <w:ind w:left="720"/>
      </w:pPr>
      <w:r>
        <w:t>To establish entitlement to relief for ineffective assistance of counsel the burden is on the defendant</w:t>
      </w:r>
      <w:r>
        <w:rPr>
          <w:spacing w:val="-30"/>
        </w:rPr>
        <w:t xml:space="preserve"> </w:t>
      </w:r>
      <w:r>
        <w:t>to show (1) trial counsel failed to act in the manner to be expected of reasonably competent attorneys</w:t>
      </w:r>
      <w:r>
        <w:rPr>
          <w:spacing w:val="-31"/>
        </w:rPr>
        <w:t xml:space="preserve"> </w:t>
      </w:r>
      <w:r>
        <w:t>acting as diligent advocates and (2) it is reasonably probable that a more favorable determination would</w:t>
      </w:r>
      <w:r>
        <w:rPr>
          <w:spacing w:val="-29"/>
        </w:rPr>
        <w:t xml:space="preserve"> </w:t>
      </w:r>
      <w:r>
        <w:t xml:space="preserve">have resulted in the absence of counsel’s failings. From </w:t>
      </w:r>
      <w:r>
        <w:rPr>
          <w:i/>
        </w:rPr>
        <w:t xml:space="preserve">People v. Pope </w:t>
      </w:r>
      <w:r>
        <w:t>(1979) 23 Cal.3d 412, 425</w:t>
      </w:r>
      <w:r>
        <w:rPr>
          <w:spacing w:val="-24"/>
        </w:rPr>
        <w:t xml:space="preserve"> </w:t>
      </w:r>
      <w:r>
        <w:t>[152 Cal.Rptr. 732, 590 P.2d</w:t>
      </w:r>
      <w:r>
        <w:rPr>
          <w:spacing w:val="-5"/>
        </w:rPr>
        <w:t xml:space="preserve"> </w:t>
      </w:r>
      <w:r>
        <w:t>859].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paraphrase"/>
      </w:tblPr>
      <w:tblGrid>
        <w:gridCol w:w="10070"/>
      </w:tblGrid>
      <w:tr w:rsidR="00E33C01" w:rsidRPr="00E33C01" w14:paraId="7658D554" w14:textId="77777777" w:rsidTr="00E33C01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90956EE" w14:textId="77777777" w:rsidR="00313FE8" w:rsidRPr="00E33C01" w:rsidRDefault="00313FE8" w:rsidP="00313FE8">
            <w:pPr>
              <w:ind w:right="720"/>
              <w:rPr>
                <w:color w:val="FFFFFF" w:themeColor="background1"/>
                <w:sz w:val="4"/>
              </w:rPr>
            </w:pPr>
            <w:r w:rsidRPr="00E33C01">
              <w:rPr>
                <w:color w:val="FFFFFF" w:themeColor="background1"/>
                <w:sz w:val="4"/>
              </w:rPr>
              <w:t>Write a paraphrase</w:t>
            </w:r>
          </w:p>
        </w:tc>
      </w:tr>
      <w:tr w:rsidR="00313FE8" w14:paraId="2B4AE482" w14:textId="77777777" w:rsidTr="00E33C01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8FCF4DF" w14:textId="77777777" w:rsidR="00313FE8" w:rsidRDefault="00313FE8" w:rsidP="00313FE8">
            <w:pPr>
              <w:ind w:right="720"/>
            </w:pPr>
          </w:p>
        </w:tc>
      </w:tr>
      <w:tr w:rsidR="00313FE8" w14:paraId="22405462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32D0C5E" w14:textId="77777777" w:rsidR="00313FE8" w:rsidRDefault="00313FE8" w:rsidP="00313FE8">
            <w:pPr>
              <w:ind w:right="720"/>
            </w:pPr>
          </w:p>
        </w:tc>
      </w:tr>
      <w:tr w:rsidR="00313FE8" w14:paraId="13FE3325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8F1EC2D" w14:textId="77777777" w:rsidR="00313FE8" w:rsidRDefault="00313FE8" w:rsidP="00313FE8">
            <w:pPr>
              <w:ind w:right="720"/>
            </w:pPr>
          </w:p>
        </w:tc>
      </w:tr>
      <w:tr w:rsidR="00313FE8" w14:paraId="152FACC8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9FCE025" w14:textId="77777777" w:rsidR="00313FE8" w:rsidRDefault="00313FE8" w:rsidP="00313FE8">
            <w:pPr>
              <w:ind w:right="720"/>
            </w:pPr>
          </w:p>
        </w:tc>
      </w:tr>
      <w:tr w:rsidR="00313FE8" w14:paraId="79C35828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6104371E" w14:textId="77777777" w:rsidR="00313FE8" w:rsidRDefault="00313FE8" w:rsidP="00313FE8">
            <w:pPr>
              <w:ind w:right="720"/>
            </w:pPr>
          </w:p>
        </w:tc>
      </w:tr>
      <w:tr w:rsidR="00313FE8" w14:paraId="3A413CE5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619E3B3" w14:textId="77777777" w:rsidR="00313FE8" w:rsidRDefault="00313FE8" w:rsidP="00313FE8">
            <w:pPr>
              <w:ind w:right="720"/>
            </w:pPr>
          </w:p>
        </w:tc>
      </w:tr>
      <w:tr w:rsidR="00313FE8" w14:paraId="22F4C3AA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3C9E21F" w14:textId="77777777" w:rsidR="00313FE8" w:rsidRDefault="00313FE8" w:rsidP="00313FE8">
            <w:pPr>
              <w:ind w:right="720"/>
            </w:pPr>
          </w:p>
        </w:tc>
      </w:tr>
    </w:tbl>
    <w:p w14:paraId="230302BD" w14:textId="77777777" w:rsidR="008537E7" w:rsidRDefault="00311533" w:rsidP="00557286">
      <w:pPr>
        <w:spacing w:before="240"/>
      </w:pPr>
      <w:r w:rsidRPr="00313FE8">
        <w:t>Now practice using a different signal phrase to introduce the paraphrase and write it in the</w:t>
      </w:r>
      <w:r w:rsidRPr="00313FE8">
        <w:rPr>
          <w:spacing w:val="-26"/>
        </w:rPr>
        <w:t xml:space="preserve"> </w:t>
      </w:r>
      <w:r w:rsidRPr="00313FE8">
        <w:t>space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signal phrase"/>
      </w:tblPr>
      <w:tblGrid>
        <w:gridCol w:w="10070"/>
      </w:tblGrid>
      <w:tr w:rsidR="00557286" w:rsidRPr="00557286" w14:paraId="4496E62C" w14:textId="77777777" w:rsidTr="00557286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458CC60E" w14:textId="77777777" w:rsidR="00557286" w:rsidRPr="00557286" w:rsidRDefault="00557286" w:rsidP="00557286">
            <w:pPr>
              <w:rPr>
                <w:color w:val="FFFFFF" w:themeColor="background1"/>
                <w:sz w:val="4"/>
              </w:rPr>
            </w:pPr>
            <w:r w:rsidRPr="00557286">
              <w:rPr>
                <w:color w:val="FFFFFF" w:themeColor="background1"/>
                <w:sz w:val="4"/>
              </w:rPr>
              <w:t>Write a signal phrase</w:t>
            </w:r>
          </w:p>
        </w:tc>
      </w:tr>
      <w:tr w:rsidR="00557286" w14:paraId="2D6E144E" w14:textId="77777777" w:rsidTr="00557286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C08ECB7" w14:textId="77777777" w:rsidR="00557286" w:rsidRPr="00557286" w:rsidRDefault="00557286" w:rsidP="00557286">
            <w:pPr>
              <w:rPr>
                <w:sz w:val="8"/>
              </w:rPr>
            </w:pPr>
          </w:p>
        </w:tc>
      </w:tr>
      <w:tr w:rsidR="00557286" w14:paraId="701F0EE2" w14:textId="77777777" w:rsidTr="00557286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30DB67F" w14:textId="77777777" w:rsidR="00557286" w:rsidRDefault="00557286" w:rsidP="00557286"/>
        </w:tc>
      </w:tr>
    </w:tbl>
    <w:p w14:paraId="728AF1E7" w14:textId="77777777" w:rsidR="008537E7" w:rsidRDefault="00311533" w:rsidP="00557286">
      <w:pPr>
        <w:spacing w:before="240"/>
      </w:pPr>
      <w:r w:rsidRPr="00557286">
        <w:t>Now put the signal phrase and paraphrase</w:t>
      </w:r>
      <w:r w:rsidRPr="00557286">
        <w:rPr>
          <w:spacing w:val="-2"/>
        </w:rPr>
        <w:t xml:space="preserve"> </w:t>
      </w:r>
      <w:r w:rsidRPr="00557286">
        <w:t>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bine signal phrase and paraphrase"/>
      </w:tblPr>
      <w:tblGrid>
        <w:gridCol w:w="10070"/>
      </w:tblGrid>
      <w:tr w:rsidR="003E327B" w:rsidRPr="003E327B" w14:paraId="5EB3978F" w14:textId="77777777" w:rsidTr="003E327B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576F2A38" w14:textId="77777777" w:rsidR="003E327B" w:rsidRPr="003E327B" w:rsidRDefault="003E327B" w:rsidP="003E327B">
            <w:pPr>
              <w:rPr>
                <w:color w:val="FFFFFF" w:themeColor="background1"/>
                <w:sz w:val="4"/>
              </w:rPr>
            </w:pPr>
            <w:r w:rsidRPr="003E327B">
              <w:rPr>
                <w:color w:val="FFFFFF" w:themeColor="background1"/>
                <w:sz w:val="4"/>
              </w:rPr>
              <w:t>Put the signal phrase and paraphrase together.</w:t>
            </w:r>
          </w:p>
        </w:tc>
      </w:tr>
      <w:tr w:rsidR="003E327B" w14:paraId="2A48F2AA" w14:textId="77777777" w:rsidTr="003E327B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ACA3466" w14:textId="77777777" w:rsidR="003E327B" w:rsidRPr="003E327B" w:rsidRDefault="003E327B" w:rsidP="003E327B">
            <w:pPr>
              <w:rPr>
                <w:sz w:val="4"/>
              </w:rPr>
            </w:pPr>
          </w:p>
        </w:tc>
      </w:tr>
      <w:tr w:rsidR="003E327B" w14:paraId="42D95932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4B9233C8" w14:textId="77777777" w:rsidR="003E327B" w:rsidRDefault="003E327B" w:rsidP="003E327B"/>
        </w:tc>
      </w:tr>
      <w:tr w:rsidR="003E327B" w14:paraId="5135ED06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73FAF54" w14:textId="77777777" w:rsidR="003E327B" w:rsidRDefault="003E327B" w:rsidP="003E327B"/>
        </w:tc>
      </w:tr>
      <w:tr w:rsidR="003E327B" w14:paraId="63A51AE7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CD2F246" w14:textId="77777777" w:rsidR="003E327B" w:rsidRDefault="003E327B" w:rsidP="003E327B"/>
        </w:tc>
      </w:tr>
      <w:tr w:rsidR="003E327B" w14:paraId="126BF508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00607F4" w14:textId="77777777" w:rsidR="003E327B" w:rsidRDefault="003E327B" w:rsidP="003E327B"/>
        </w:tc>
      </w:tr>
      <w:tr w:rsidR="003E327B" w14:paraId="78F29E1A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2A40221" w14:textId="77777777" w:rsidR="003E327B" w:rsidRDefault="003E327B" w:rsidP="003E327B"/>
        </w:tc>
      </w:tr>
    </w:tbl>
    <w:p w14:paraId="0EA83DCA" w14:textId="77777777" w:rsidR="003E327B" w:rsidRPr="00557286" w:rsidRDefault="00A30DCA" w:rsidP="003E327B">
      <w:pPr>
        <w:pStyle w:val="Heading2"/>
      </w:pPr>
      <w:sdt>
        <w:sdtPr>
          <w:rPr>
            <w:i w:val="0"/>
          </w:rPr>
          <w:id w:val="10176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7B" w:rsidRPr="003E327B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3E327B">
        <w:t xml:space="preserve"> 3. Write a Paraphrase 2</w:t>
      </w:r>
    </w:p>
    <w:p w14:paraId="6757290D" w14:textId="77777777" w:rsidR="008537E7" w:rsidRPr="003E327B" w:rsidRDefault="00311533" w:rsidP="003E327B">
      <w:pPr>
        <w:rPr>
          <w:rFonts w:hAnsi="Times New Roman"/>
        </w:rPr>
      </w:pPr>
      <w:r w:rsidRPr="003E327B">
        <w:t>Finally, continue the process by paraphrasing the following</w:t>
      </w:r>
      <w:r w:rsidRPr="003E327B">
        <w:rPr>
          <w:spacing w:val="-13"/>
        </w:rPr>
        <w:t xml:space="preserve"> </w:t>
      </w:r>
      <w:r w:rsidRPr="003E327B">
        <w:t>passage:</w:t>
      </w:r>
    </w:p>
    <w:p w14:paraId="15CEBA2E" w14:textId="77777777" w:rsidR="008537E7" w:rsidRDefault="00311533" w:rsidP="003E327B">
      <w:pPr>
        <w:ind w:left="720"/>
      </w:pPr>
      <w:r>
        <w:t>The Supreme Court declared the constitutional protected freedom of association embraced two</w:t>
      </w:r>
      <w:r>
        <w:rPr>
          <w:spacing w:val="-22"/>
        </w:rPr>
        <w:t xml:space="preserve"> </w:t>
      </w:r>
      <w:r>
        <w:t>distinct species of association. In one line of decisions, the court concluded the choices to enter into and</w:t>
      </w:r>
      <w:r>
        <w:rPr>
          <w:spacing w:val="-27"/>
        </w:rPr>
        <w:t xml:space="preserve"> </w:t>
      </w:r>
      <w:r>
        <w:t>maintain certain intimate human relationships must be secured against undue intrusion by the State because of</w:t>
      </w:r>
      <w:r>
        <w:rPr>
          <w:spacing w:val="-26"/>
        </w:rPr>
        <w:t xml:space="preserve"> </w:t>
      </w:r>
      <w:r>
        <w:t>the role of such relationships in safeguarding the individual freedom that is central to our</w:t>
      </w:r>
      <w:r>
        <w:rPr>
          <w:spacing w:val="-28"/>
        </w:rPr>
        <w:t xml:space="preserve"> </w:t>
      </w:r>
      <w:r>
        <w:t>constitutional scheme. In this respect, freedom of association receives protection as a fundamental element of</w:t>
      </w:r>
      <w:r>
        <w:rPr>
          <w:spacing w:val="-29"/>
        </w:rPr>
        <w:t xml:space="preserve"> </w:t>
      </w:r>
      <w:r>
        <w:t xml:space="preserve">personal liberty. From dissenting opinion, </w:t>
      </w:r>
      <w:r>
        <w:rPr>
          <w:i/>
        </w:rPr>
        <w:t xml:space="preserve">Curran v. Mount Diablo Counsel of Boy Scouts </w:t>
      </w:r>
      <w:r>
        <w:t>(1994) 24</w:t>
      </w:r>
      <w:r>
        <w:rPr>
          <w:spacing w:val="-20"/>
        </w:rPr>
        <w:t xml:space="preserve"> </w:t>
      </w:r>
      <w:r>
        <w:t>Cal.App.4</w:t>
      </w:r>
      <w:r>
        <w:rPr>
          <w:position w:val="8"/>
          <w:sz w:val="14"/>
        </w:rPr>
        <w:t>th</w:t>
      </w:r>
      <w:r>
        <w:rPr>
          <w:spacing w:val="-1"/>
          <w:w w:val="99"/>
          <w:position w:val="8"/>
          <w:sz w:val="14"/>
        </w:rPr>
        <w:t xml:space="preserve"> </w:t>
      </w:r>
      <w:r>
        <w:t>1166 [29 Cal.Rptr.2d</w:t>
      </w:r>
      <w:r>
        <w:rPr>
          <w:spacing w:val="-4"/>
        </w:rPr>
        <w:t xml:space="preserve"> </w:t>
      </w:r>
      <w:r>
        <w:t>580].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paraphrase"/>
      </w:tblPr>
      <w:tblGrid>
        <w:gridCol w:w="10070"/>
      </w:tblGrid>
      <w:tr w:rsidR="003E327B" w:rsidRPr="00E33C01" w14:paraId="6246D85C" w14:textId="77777777" w:rsidTr="00B3768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6C9441D" w14:textId="77777777" w:rsidR="003E327B" w:rsidRPr="00E33C01" w:rsidRDefault="003E327B" w:rsidP="00B37684">
            <w:pPr>
              <w:ind w:right="720"/>
              <w:rPr>
                <w:color w:val="FFFFFF" w:themeColor="background1"/>
                <w:sz w:val="4"/>
              </w:rPr>
            </w:pPr>
            <w:r w:rsidRPr="00E33C01">
              <w:rPr>
                <w:color w:val="FFFFFF" w:themeColor="background1"/>
                <w:sz w:val="4"/>
              </w:rPr>
              <w:t>Write a paraphrase</w:t>
            </w:r>
          </w:p>
        </w:tc>
      </w:tr>
      <w:tr w:rsidR="003E327B" w14:paraId="0BC4F4B3" w14:textId="77777777" w:rsidTr="00B3768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52E73ABB" w14:textId="77777777" w:rsidR="003E327B" w:rsidRDefault="003E327B" w:rsidP="00B37684">
            <w:pPr>
              <w:ind w:right="720"/>
            </w:pPr>
          </w:p>
        </w:tc>
      </w:tr>
      <w:tr w:rsidR="003E327B" w14:paraId="0769B113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DEC258F" w14:textId="77777777" w:rsidR="003E327B" w:rsidRDefault="003E327B" w:rsidP="00B37684">
            <w:pPr>
              <w:ind w:right="720"/>
            </w:pPr>
          </w:p>
        </w:tc>
      </w:tr>
      <w:tr w:rsidR="003E327B" w14:paraId="27A52ABD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CBADC5F" w14:textId="77777777" w:rsidR="003E327B" w:rsidRDefault="003E327B" w:rsidP="00B37684">
            <w:pPr>
              <w:ind w:right="720"/>
            </w:pPr>
          </w:p>
        </w:tc>
      </w:tr>
      <w:tr w:rsidR="003E327B" w14:paraId="7A8C8A58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066562D0" w14:textId="77777777" w:rsidR="003E327B" w:rsidRDefault="003E327B" w:rsidP="00B37684">
            <w:pPr>
              <w:ind w:right="720"/>
            </w:pPr>
          </w:p>
        </w:tc>
      </w:tr>
      <w:tr w:rsidR="003E327B" w14:paraId="457B848B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CA4486D" w14:textId="77777777" w:rsidR="003E327B" w:rsidRDefault="003E327B" w:rsidP="00B37684">
            <w:pPr>
              <w:ind w:right="720"/>
            </w:pPr>
          </w:p>
        </w:tc>
      </w:tr>
      <w:tr w:rsidR="003E327B" w14:paraId="3161C5DD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E98A795" w14:textId="77777777" w:rsidR="003E327B" w:rsidRDefault="003E327B" w:rsidP="00B37684">
            <w:pPr>
              <w:ind w:right="720"/>
            </w:pPr>
          </w:p>
        </w:tc>
      </w:tr>
    </w:tbl>
    <w:p w14:paraId="0EF074BF" w14:textId="77777777" w:rsidR="008537E7" w:rsidRDefault="003E327B" w:rsidP="003E327B">
      <w:pPr>
        <w:spacing w:before="240"/>
      </w:pPr>
      <w:r w:rsidRPr="003E327B">
        <w:t>T</w:t>
      </w:r>
      <w:r w:rsidR="00311533" w:rsidRPr="003E327B">
        <w:t>hen create a signal phrase that provides context to the passage to introduce the paraphrase and write it</w:t>
      </w:r>
      <w:r w:rsidR="00311533" w:rsidRPr="003E327B">
        <w:rPr>
          <w:spacing w:val="-30"/>
        </w:rPr>
        <w:t xml:space="preserve"> </w:t>
      </w:r>
      <w:r w:rsidR="00311533" w:rsidRPr="003E327B">
        <w:t>in the space</w:t>
      </w:r>
      <w:r w:rsidR="00311533" w:rsidRPr="003E327B">
        <w:rPr>
          <w:spacing w:val="-1"/>
        </w:rPr>
        <w:t xml:space="preserve"> </w:t>
      </w:r>
      <w:r w:rsidR="00311533" w:rsidRPr="003E327B">
        <w:t>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signal phrase"/>
      </w:tblPr>
      <w:tblGrid>
        <w:gridCol w:w="10070"/>
      </w:tblGrid>
      <w:tr w:rsidR="003E327B" w:rsidRPr="00557286" w14:paraId="69FC54BC" w14:textId="77777777" w:rsidTr="00B3768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9BB8579" w14:textId="77777777" w:rsidR="003E327B" w:rsidRPr="00557286" w:rsidRDefault="003E327B" w:rsidP="00B37684">
            <w:pPr>
              <w:rPr>
                <w:color w:val="FFFFFF" w:themeColor="background1"/>
                <w:sz w:val="4"/>
              </w:rPr>
            </w:pPr>
            <w:r w:rsidRPr="00557286">
              <w:rPr>
                <w:color w:val="FFFFFF" w:themeColor="background1"/>
                <w:sz w:val="4"/>
              </w:rPr>
              <w:t>Write a signal phrase</w:t>
            </w:r>
          </w:p>
        </w:tc>
      </w:tr>
      <w:tr w:rsidR="003E327B" w14:paraId="42FB4D75" w14:textId="77777777" w:rsidTr="00B3768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104BB213" w14:textId="77777777" w:rsidR="003E327B" w:rsidRPr="00557286" w:rsidRDefault="003E327B" w:rsidP="00B37684">
            <w:pPr>
              <w:rPr>
                <w:sz w:val="8"/>
              </w:rPr>
            </w:pPr>
          </w:p>
        </w:tc>
      </w:tr>
      <w:tr w:rsidR="003E327B" w14:paraId="084E425D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3DD75114" w14:textId="77777777" w:rsidR="003E327B" w:rsidRDefault="003E327B" w:rsidP="00B37684"/>
        </w:tc>
      </w:tr>
    </w:tbl>
    <w:p w14:paraId="3D5491F2" w14:textId="77777777" w:rsidR="008537E7" w:rsidRDefault="00311533" w:rsidP="003E327B">
      <w:pPr>
        <w:spacing w:before="240"/>
      </w:pPr>
      <w:r w:rsidRPr="003E327B">
        <w:t>Now put the signal phrase and paraphrase</w:t>
      </w:r>
      <w:r w:rsidRPr="003E327B">
        <w:rPr>
          <w:spacing w:val="-2"/>
        </w:rPr>
        <w:t xml:space="preserve"> </w:t>
      </w:r>
      <w:r w:rsidRPr="003E327B">
        <w:t>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bine signal phrase and paraphrase"/>
      </w:tblPr>
      <w:tblGrid>
        <w:gridCol w:w="10070"/>
      </w:tblGrid>
      <w:tr w:rsidR="003E327B" w:rsidRPr="003E327B" w14:paraId="0DD307FE" w14:textId="77777777" w:rsidTr="00B3768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06FD88A" w14:textId="77777777" w:rsidR="003E327B" w:rsidRPr="003E327B" w:rsidRDefault="003E327B" w:rsidP="00B37684">
            <w:pPr>
              <w:rPr>
                <w:color w:val="FFFFFF" w:themeColor="background1"/>
                <w:sz w:val="4"/>
              </w:rPr>
            </w:pPr>
            <w:r w:rsidRPr="003E327B">
              <w:rPr>
                <w:color w:val="FFFFFF" w:themeColor="background1"/>
                <w:sz w:val="4"/>
              </w:rPr>
              <w:t>Put the signal phrase and paraphrase together.</w:t>
            </w:r>
          </w:p>
        </w:tc>
      </w:tr>
      <w:tr w:rsidR="003E327B" w14:paraId="66B55E6B" w14:textId="77777777" w:rsidTr="00B3768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73E65770" w14:textId="77777777" w:rsidR="003E327B" w:rsidRPr="003E327B" w:rsidRDefault="003E327B" w:rsidP="00B37684">
            <w:pPr>
              <w:rPr>
                <w:sz w:val="4"/>
              </w:rPr>
            </w:pPr>
          </w:p>
        </w:tc>
      </w:tr>
      <w:tr w:rsidR="003E327B" w14:paraId="6E0CDC9C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6F41D17" w14:textId="77777777" w:rsidR="003E327B" w:rsidRDefault="003E327B" w:rsidP="00B37684"/>
        </w:tc>
      </w:tr>
      <w:tr w:rsidR="003E327B" w14:paraId="66D6CE61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E784407" w14:textId="77777777" w:rsidR="003E327B" w:rsidRDefault="003E327B" w:rsidP="00B37684"/>
        </w:tc>
      </w:tr>
      <w:tr w:rsidR="003E327B" w14:paraId="10520DD0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9B85998" w14:textId="77777777" w:rsidR="003E327B" w:rsidRDefault="003E327B" w:rsidP="00B37684"/>
        </w:tc>
      </w:tr>
      <w:tr w:rsidR="003E327B" w14:paraId="1639F0FF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36E8A620" w14:textId="77777777" w:rsidR="003E327B" w:rsidRDefault="003E327B" w:rsidP="00B37684"/>
        </w:tc>
      </w:tr>
      <w:tr w:rsidR="003E327B" w14:paraId="53C8E9EA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47DF122B" w14:textId="77777777" w:rsidR="003E327B" w:rsidRDefault="003E327B" w:rsidP="00B37684"/>
        </w:tc>
      </w:tr>
    </w:tbl>
    <w:p w14:paraId="5DC29E3B" w14:textId="77777777" w:rsidR="003E327B" w:rsidRDefault="00A30DCA" w:rsidP="003E327B">
      <w:pPr>
        <w:pStyle w:val="Heading2"/>
      </w:pPr>
      <w:sdt>
        <w:sdtPr>
          <w:rPr>
            <w:i w:val="0"/>
          </w:rPr>
          <w:id w:val="-174502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7B" w:rsidRPr="003E327B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3E327B">
        <w:t xml:space="preserve"> 4. Review the DLA</w:t>
      </w:r>
    </w:p>
    <w:p w14:paraId="0E3D30AD" w14:textId="17357A97" w:rsidR="00406444" w:rsidRDefault="003E327B" w:rsidP="00406444">
      <w:pPr>
        <w:sectPr w:rsidR="00406444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8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311533">
        <w:t>.</w:t>
      </w:r>
      <w:r w:rsidR="00311533">
        <w:rPr>
          <w:spacing w:val="9"/>
        </w:rPr>
        <w:t xml:space="preserve"> </w:t>
      </w:r>
      <w:r w:rsidR="00311533">
        <w:t>During your session with a tutor, review the different ways you integrated sources and explain to</w:t>
      </w:r>
      <w:r w:rsidR="00311533">
        <w:rPr>
          <w:spacing w:val="-15"/>
        </w:rPr>
        <w:t xml:space="preserve"> </w:t>
      </w:r>
      <w:r w:rsidR="00311533">
        <w:t>the tutor the strategies that you used. Also, consider how you may apply what you have learned</w:t>
      </w:r>
      <w:r w:rsidR="00311533">
        <w:rPr>
          <w:spacing w:val="-19"/>
        </w:rPr>
        <w:t xml:space="preserve"> </w:t>
      </w:r>
      <w:r w:rsidR="00311533">
        <w:t>the course you are</w:t>
      </w:r>
      <w:r w:rsidR="00311533">
        <w:rPr>
          <w:spacing w:val="1"/>
        </w:rPr>
        <w:t xml:space="preserve"> </w:t>
      </w:r>
      <w:r w:rsidR="00311533">
        <w:t>taking.</w:t>
      </w:r>
      <w:r w:rsidR="00406444" w:rsidRPr="00406444">
        <w:t xml:space="preserve"> </w:t>
      </w:r>
    </w:p>
    <w:p w14:paraId="5C811E42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6072B9C5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2C4D94B5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374EAAF0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240" w:after="0"/>
        <w:sectPr w:rsidR="00406444" w:rsidSect="0076575B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60008217" w14:textId="77777777" w:rsidR="00406444" w:rsidRPr="000D2E79" w:rsidRDefault="00406444" w:rsidP="00B321B6">
      <w:pPr>
        <w:spacing w:before="12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9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0E8BA272" w14:textId="4B666AAD" w:rsidR="00406444" w:rsidRPr="00A72EFF" w:rsidRDefault="00406444" w:rsidP="00406444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>Revised 0</w:t>
      </w:r>
      <w:r w:rsidR="00B321B6">
        <w:rPr>
          <w:rStyle w:val="Emphasis"/>
          <w:sz w:val="20"/>
        </w:rPr>
        <w:t>4</w:t>
      </w:r>
      <w:r>
        <w:rPr>
          <w:rStyle w:val="Emphasis"/>
          <w:sz w:val="20"/>
        </w:rPr>
        <w:t>/</w:t>
      </w:r>
      <w:r w:rsidR="00B321B6">
        <w:rPr>
          <w:rStyle w:val="Emphasis"/>
          <w:sz w:val="20"/>
        </w:rPr>
        <w:t>12</w:t>
      </w:r>
      <w:r w:rsidRPr="00A72EFF">
        <w:rPr>
          <w:rStyle w:val="Emphasis"/>
          <w:sz w:val="20"/>
        </w:rPr>
        <w:t>/20</w:t>
      </w:r>
      <w:r w:rsidR="00B321B6">
        <w:rPr>
          <w:rStyle w:val="Emphasis"/>
          <w:sz w:val="20"/>
        </w:rPr>
        <w:t>22</w:t>
      </w:r>
    </w:p>
    <w:sectPr w:rsidR="00406444" w:rsidRPr="00A72EFF" w:rsidSect="00B056BC">
      <w:headerReference w:type="default" r:id="rId20"/>
      <w:footerReference w:type="default" r:id="rId21"/>
      <w:type w:val="continuous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19507" w14:textId="77777777" w:rsidR="00A30DCA" w:rsidRDefault="00A30DCA">
      <w:pPr>
        <w:spacing w:after="0"/>
      </w:pPr>
      <w:r>
        <w:separator/>
      </w:r>
    </w:p>
  </w:endnote>
  <w:endnote w:type="continuationSeparator" w:id="0">
    <w:p w14:paraId="63A62615" w14:textId="77777777" w:rsidR="00A30DCA" w:rsidRDefault="00A30D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50B9E" w14:textId="77777777" w:rsidR="00777B58" w:rsidRDefault="00777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DD8D" w14:textId="77777777" w:rsidR="004B2E9D" w:rsidRPr="00E023E2" w:rsidRDefault="004B2E9D" w:rsidP="004B2E9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54A65393" w14:textId="77777777" w:rsidR="004B2E9D" w:rsidRPr="00E023E2" w:rsidRDefault="004B2E9D" w:rsidP="004B2E9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0BE107B8" w14:textId="77777777" w:rsidR="004B2E9D" w:rsidRPr="00E023E2" w:rsidRDefault="004B2E9D" w:rsidP="004B2E9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17BC" w14:textId="77777777" w:rsidR="004B2E9D" w:rsidRPr="00E023E2" w:rsidRDefault="004B2E9D" w:rsidP="004B2E9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7C164A0E" w14:textId="77777777" w:rsidR="004B2E9D" w:rsidRPr="00E023E2" w:rsidRDefault="004B2E9D" w:rsidP="004B2E9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7E23F537" w14:textId="77777777" w:rsidR="004B2E9D" w:rsidRPr="00E023E2" w:rsidRDefault="004B2E9D" w:rsidP="004B2E9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83C6" w14:textId="77777777" w:rsidR="008B66A5" w:rsidRPr="00E023E2" w:rsidRDefault="008B66A5" w:rsidP="004B2E9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415E1713" w14:textId="77777777" w:rsidR="008B66A5" w:rsidRPr="00E023E2" w:rsidRDefault="008B66A5" w:rsidP="004B2E9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51A80D11" w14:textId="77777777" w:rsidR="008B66A5" w:rsidRPr="00E023E2" w:rsidRDefault="008B66A5" w:rsidP="004B2E9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25788" w14:textId="77777777" w:rsidR="00A30DCA" w:rsidRDefault="00A30DCA">
      <w:pPr>
        <w:spacing w:after="0"/>
      </w:pPr>
      <w:r>
        <w:separator/>
      </w:r>
    </w:p>
  </w:footnote>
  <w:footnote w:type="continuationSeparator" w:id="0">
    <w:p w14:paraId="5E557391" w14:textId="77777777" w:rsidR="00A30DCA" w:rsidRDefault="00A30D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DD55C" w14:textId="77777777" w:rsidR="00777B58" w:rsidRDefault="00777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EFA85" w14:textId="1408B66A" w:rsidR="00951B04" w:rsidRDefault="00951B04">
    <w:pPr>
      <w:pStyle w:val="Header"/>
      <w:jc w:val="right"/>
    </w:pPr>
    <w:r>
      <w:t xml:space="preserve">DLA: Introduction to California Citation, The </w:t>
    </w:r>
    <w:r w:rsidR="00EA12CB">
      <w:t>“</w:t>
    </w:r>
    <w:r>
      <w:t>Yellow Book</w:t>
    </w:r>
    <w:r w:rsidR="00EA12CB">
      <w:t>”</w:t>
    </w:r>
    <w:r>
      <w:t xml:space="preserve"> </w:t>
    </w:r>
    <w:sdt>
      <w:sdtPr>
        <w:id w:val="-16011680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B2A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712DB607" w14:textId="77777777" w:rsidR="008537E7" w:rsidRPr="00951B04" w:rsidRDefault="008537E7" w:rsidP="00951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BE36B" w14:textId="0C58D689" w:rsidR="00777B58" w:rsidRDefault="00777B58" w:rsidP="00777B58">
    <w:pPr>
      <w:pStyle w:val="Heading1"/>
      <w:spacing w:before="0"/>
      <w:ind w:left="2880"/>
      <w:rPr>
        <w:spacing w:val="-2"/>
        <w:sz w:val="44"/>
        <w:szCs w:val="4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72A3FFE" wp14:editId="48EECDC5">
          <wp:simplePos x="0" y="0"/>
          <wp:positionH relativeFrom="page">
            <wp:posOffset>6019165</wp:posOffset>
          </wp:positionH>
          <wp:positionV relativeFrom="paragraph">
            <wp:posOffset>-332740</wp:posOffset>
          </wp:positionV>
          <wp:extent cx="1184910" cy="11849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8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1AE5C3AD" wp14:editId="6C858053">
          <wp:simplePos x="0" y="0"/>
          <wp:positionH relativeFrom="page">
            <wp:posOffset>629285</wp:posOffset>
          </wp:positionH>
          <wp:positionV relativeFrom="paragraph">
            <wp:posOffset>-99060</wp:posOffset>
          </wp:positionV>
          <wp:extent cx="852170" cy="852170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4"/>
        <w:szCs w:val="44"/>
      </w:rPr>
      <w:t xml:space="preserve">  The</w:t>
    </w:r>
    <w:r>
      <w:rPr>
        <w:spacing w:val="-3"/>
        <w:sz w:val="44"/>
        <w:szCs w:val="44"/>
      </w:rPr>
      <w:t xml:space="preserve"> </w:t>
    </w:r>
    <w:r>
      <w:rPr>
        <w:sz w:val="44"/>
        <w:szCs w:val="44"/>
      </w:rPr>
      <w:t>Writing</w:t>
    </w:r>
    <w:r>
      <w:rPr>
        <w:spacing w:val="-1"/>
        <w:sz w:val="44"/>
        <w:szCs w:val="44"/>
      </w:rPr>
      <w:t xml:space="preserve"> </w:t>
    </w:r>
    <w:r>
      <w:rPr>
        <w:spacing w:val="-2"/>
        <w:sz w:val="44"/>
        <w:szCs w:val="44"/>
      </w:rPr>
      <w:t>Center</w:t>
    </w:r>
  </w:p>
  <w:p w14:paraId="30406BB2" w14:textId="77777777" w:rsidR="00777B58" w:rsidRDefault="00777B58" w:rsidP="00777B58">
    <w:pPr>
      <w:pStyle w:val="Heading1"/>
      <w:spacing w:before="0"/>
      <w:ind w:left="2725" w:firstLine="155"/>
    </w:pPr>
    <w:r>
      <w:t xml:space="preserve">   Directed Learning Activity</w:t>
    </w:r>
  </w:p>
  <w:p w14:paraId="24EEE652" w14:textId="03B1251E" w:rsidR="004B2E9D" w:rsidRDefault="00777B58" w:rsidP="00777B5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907380" wp14:editId="61043B69">
              <wp:simplePos x="0" y="0"/>
              <wp:positionH relativeFrom="column">
                <wp:posOffset>1223645</wp:posOffset>
              </wp:positionH>
              <wp:positionV relativeFrom="paragraph">
                <wp:posOffset>34925</wp:posOffset>
              </wp:positionV>
              <wp:extent cx="3884295" cy="7620"/>
              <wp:effectExtent l="0" t="0" r="20955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84295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2FA36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2.75pt" to="40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" strokecolor="black [3040]"/>
          </w:pict>
        </mc:Fallback>
      </mc:AlternateContent>
    </w:r>
    <w:bookmarkStart w:id="0" w:name="_GoBack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EBAA5" w14:textId="77777777" w:rsidR="00516E8B" w:rsidRDefault="00516E8B">
    <w:pPr>
      <w:pStyle w:val="Header"/>
      <w:jc w:val="right"/>
    </w:pPr>
    <w:r>
      <w:t xml:space="preserve">DLA: Introduction to California Case Citation </w:t>
    </w:r>
    <w:sdt>
      <w:sdtPr>
        <w:id w:val="-14715130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27B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509B4746" w14:textId="77777777" w:rsidR="008B66A5" w:rsidRPr="00516E8B" w:rsidRDefault="008B66A5" w:rsidP="00516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4A08C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8E2E1E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E9B2D0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8A20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7F465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70EB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DB44016"/>
    <w:lvl w:ilvl="0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3700A20"/>
    <w:multiLevelType w:val="hybridMultilevel"/>
    <w:tmpl w:val="3AB6B390"/>
    <w:lvl w:ilvl="0" w:tplc="42D692AE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6AA8AAA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32BA6DBE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AE92C8F2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6CE64FBA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F110A1C4">
      <w:start w:val="1"/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687CE014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1616B70C">
      <w:start w:val="1"/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C0D2B6FE">
      <w:start w:val="1"/>
      <w:numFmt w:val="bullet"/>
      <w:lvlText w:val="•"/>
      <w:lvlJc w:val="left"/>
      <w:pPr>
        <w:ind w:left="8664" w:hanging="360"/>
      </w:pPr>
      <w:rPr>
        <w:rFonts w:hint="default"/>
      </w:rPr>
    </w:lvl>
  </w:abstractNum>
  <w:abstractNum w:abstractNumId="8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5D1AFC"/>
    <w:multiLevelType w:val="hybridMultilevel"/>
    <w:tmpl w:val="B9E6546C"/>
    <w:lvl w:ilvl="0" w:tplc="45E26F02">
      <w:start w:val="1"/>
      <w:numFmt w:val="bullet"/>
      <w:lvlText w:val=""/>
      <w:lvlJc w:val="left"/>
      <w:pPr>
        <w:ind w:left="838" w:hanging="252"/>
      </w:pPr>
      <w:rPr>
        <w:rFonts w:ascii="Wingdings" w:eastAsia="Wingdings" w:hAnsi="Wingdings" w:hint="default"/>
        <w:w w:val="100"/>
      </w:rPr>
    </w:lvl>
    <w:lvl w:ilvl="1" w:tplc="3A7ADCD2">
      <w:start w:val="1"/>
      <w:numFmt w:val="bullet"/>
      <w:lvlText w:val="•"/>
      <w:lvlJc w:val="left"/>
      <w:pPr>
        <w:ind w:left="1788" w:hanging="252"/>
      </w:pPr>
      <w:rPr>
        <w:rFonts w:hint="default"/>
      </w:rPr>
    </w:lvl>
    <w:lvl w:ilvl="2" w:tplc="F2589CDE">
      <w:start w:val="1"/>
      <w:numFmt w:val="bullet"/>
      <w:lvlText w:val="•"/>
      <w:lvlJc w:val="left"/>
      <w:pPr>
        <w:ind w:left="2736" w:hanging="252"/>
      </w:pPr>
      <w:rPr>
        <w:rFonts w:hint="default"/>
      </w:rPr>
    </w:lvl>
    <w:lvl w:ilvl="3" w:tplc="571ADC3E">
      <w:start w:val="1"/>
      <w:numFmt w:val="bullet"/>
      <w:lvlText w:val="•"/>
      <w:lvlJc w:val="left"/>
      <w:pPr>
        <w:ind w:left="3684" w:hanging="252"/>
      </w:pPr>
      <w:rPr>
        <w:rFonts w:hint="default"/>
      </w:rPr>
    </w:lvl>
    <w:lvl w:ilvl="4" w:tplc="E5D00C32">
      <w:start w:val="1"/>
      <w:numFmt w:val="bullet"/>
      <w:lvlText w:val="•"/>
      <w:lvlJc w:val="left"/>
      <w:pPr>
        <w:ind w:left="4632" w:hanging="252"/>
      </w:pPr>
      <w:rPr>
        <w:rFonts w:hint="default"/>
      </w:rPr>
    </w:lvl>
    <w:lvl w:ilvl="5" w:tplc="5C3498DA">
      <w:start w:val="1"/>
      <w:numFmt w:val="bullet"/>
      <w:lvlText w:val="•"/>
      <w:lvlJc w:val="left"/>
      <w:pPr>
        <w:ind w:left="5580" w:hanging="252"/>
      </w:pPr>
      <w:rPr>
        <w:rFonts w:hint="default"/>
      </w:rPr>
    </w:lvl>
    <w:lvl w:ilvl="6" w:tplc="4F200474">
      <w:start w:val="1"/>
      <w:numFmt w:val="bullet"/>
      <w:lvlText w:val="•"/>
      <w:lvlJc w:val="left"/>
      <w:pPr>
        <w:ind w:left="6528" w:hanging="252"/>
      </w:pPr>
      <w:rPr>
        <w:rFonts w:hint="default"/>
      </w:rPr>
    </w:lvl>
    <w:lvl w:ilvl="7" w:tplc="1C7AD7B6">
      <w:start w:val="1"/>
      <w:numFmt w:val="bullet"/>
      <w:lvlText w:val="•"/>
      <w:lvlJc w:val="left"/>
      <w:pPr>
        <w:ind w:left="7476" w:hanging="252"/>
      </w:pPr>
      <w:rPr>
        <w:rFonts w:hint="default"/>
      </w:rPr>
    </w:lvl>
    <w:lvl w:ilvl="8" w:tplc="F53E10E8">
      <w:start w:val="1"/>
      <w:numFmt w:val="bullet"/>
      <w:lvlText w:val="•"/>
      <w:lvlJc w:val="left"/>
      <w:pPr>
        <w:ind w:left="8424" w:hanging="252"/>
      </w:pPr>
      <w:rPr>
        <w:rFonts w:hint="default"/>
      </w:rPr>
    </w:lvl>
  </w:abstractNum>
  <w:abstractNum w:abstractNumId="10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914A6B"/>
    <w:multiLevelType w:val="hybridMultilevel"/>
    <w:tmpl w:val="7AD0FA3E"/>
    <w:lvl w:ilvl="0" w:tplc="C4BE586C">
      <w:start w:val="1"/>
      <w:numFmt w:val="bullet"/>
      <w:lvlText w:val=""/>
      <w:lvlJc w:val="left"/>
      <w:pPr>
        <w:ind w:left="959" w:hanging="252"/>
      </w:pPr>
      <w:rPr>
        <w:rFonts w:ascii="Wingdings" w:eastAsia="Wingdings" w:hAnsi="Wingdings" w:hint="default"/>
        <w:w w:val="100"/>
        <w:sz w:val="22"/>
        <w:szCs w:val="22"/>
      </w:rPr>
    </w:lvl>
    <w:lvl w:ilvl="1" w:tplc="8C32ED78">
      <w:start w:val="1"/>
      <w:numFmt w:val="bullet"/>
      <w:lvlText w:val="•"/>
      <w:lvlJc w:val="left"/>
      <w:pPr>
        <w:ind w:left="1922" w:hanging="252"/>
      </w:pPr>
      <w:rPr>
        <w:rFonts w:hint="default"/>
      </w:rPr>
    </w:lvl>
    <w:lvl w:ilvl="2" w:tplc="B3E297AA">
      <w:start w:val="1"/>
      <w:numFmt w:val="bullet"/>
      <w:lvlText w:val="•"/>
      <w:lvlJc w:val="left"/>
      <w:pPr>
        <w:ind w:left="2884" w:hanging="252"/>
      </w:pPr>
      <w:rPr>
        <w:rFonts w:hint="default"/>
      </w:rPr>
    </w:lvl>
    <w:lvl w:ilvl="3" w:tplc="E220A738">
      <w:start w:val="1"/>
      <w:numFmt w:val="bullet"/>
      <w:lvlText w:val="•"/>
      <w:lvlJc w:val="left"/>
      <w:pPr>
        <w:ind w:left="3846" w:hanging="252"/>
      </w:pPr>
      <w:rPr>
        <w:rFonts w:hint="default"/>
      </w:rPr>
    </w:lvl>
    <w:lvl w:ilvl="4" w:tplc="7D9C6F42">
      <w:start w:val="1"/>
      <w:numFmt w:val="bullet"/>
      <w:lvlText w:val="•"/>
      <w:lvlJc w:val="left"/>
      <w:pPr>
        <w:ind w:left="4808" w:hanging="252"/>
      </w:pPr>
      <w:rPr>
        <w:rFonts w:hint="default"/>
      </w:rPr>
    </w:lvl>
    <w:lvl w:ilvl="5" w:tplc="C72ED97A">
      <w:start w:val="1"/>
      <w:numFmt w:val="bullet"/>
      <w:lvlText w:val="•"/>
      <w:lvlJc w:val="left"/>
      <w:pPr>
        <w:ind w:left="5770" w:hanging="252"/>
      </w:pPr>
      <w:rPr>
        <w:rFonts w:hint="default"/>
      </w:rPr>
    </w:lvl>
    <w:lvl w:ilvl="6" w:tplc="A8566B86">
      <w:start w:val="1"/>
      <w:numFmt w:val="bullet"/>
      <w:lvlText w:val="•"/>
      <w:lvlJc w:val="left"/>
      <w:pPr>
        <w:ind w:left="6732" w:hanging="252"/>
      </w:pPr>
      <w:rPr>
        <w:rFonts w:hint="default"/>
      </w:rPr>
    </w:lvl>
    <w:lvl w:ilvl="7" w:tplc="6B16B30A">
      <w:start w:val="1"/>
      <w:numFmt w:val="bullet"/>
      <w:lvlText w:val="•"/>
      <w:lvlJc w:val="left"/>
      <w:pPr>
        <w:ind w:left="7694" w:hanging="252"/>
      </w:pPr>
      <w:rPr>
        <w:rFonts w:hint="default"/>
      </w:rPr>
    </w:lvl>
    <w:lvl w:ilvl="8" w:tplc="0D40C688">
      <w:start w:val="1"/>
      <w:numFmt w:val="bullet"/>
      <w:lvlText w:val="•"/>
      <w:lvlJc w:val="left"/>
      <w:pPr>
        <w:ind w:left="8656" w:hanging="252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6"/>
  </w:num>
  <w:num w:numId="6">
    <w:abstractNumId w:val="4"/>
  </w:num>
  <w:num w:numId="7">
    <w:abstractNumId w:val="4"/>
  </w:num>
  <w:num w:numId="8">
    <w:abstractNumId w:val="3"/>
  </w:num>
  <w:num w:numId="9">
    <w:abstractNumId w:val="3"/>
  </w:num>
  <w:num w:numId="10">
    <w:abstractNumId w:val="2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E7"/>
    <w:rsid w:val="00087280"/>
    <w:rsid w:val="00311533"/>
    <w:rsid w:val="00313FE8"/>
    <w:rsid w:val="003E327B"/>
    <w:rsid w:val="00406444"/>
    <w:rsid w:val="004B2E9D"/>
    <w:rsid w:val="00516E8B"/>
    <w:rsid w:val="00557286"/>
    <w:rsid w:val="005C5404"/>
    <w:rsid w:val="005F0C1C"/>
    <w:rsid w:val="00742DAD"/>
    <w:rsid w:val="0076575B"/>
    <w:rsid w:val="00777B58"/>
    <w:rsid w:val="00835431"/>
    <w:rsid w:val="008537E7"/>
    <w:rsid w:val="008B66A5"/>
    <w:rsid w:val="00951B04"/>
    <w:rsid w:val="009A299C"/>
    <w:rsid w:val="009B5B2A"/>
    <w:rsid w:val="00A027EF"/>
    <w:rsid w:val="00A11AC7"/>
    <w:rsid w:val="00A30DCA"/>
    <w:rsid w:val="00B056BC"/>
    <w:rsid w:val="00B321B6"/>
    <w:rsid w:val="00B45596"/>
    <w:rsid w:val="00BC5BD7"/>
    <w:rsid w:val="00D947B6"/>
    <w:rsid w:val="00DA2349"/>
    <w:rsid w:val="00DE3583"/>
    <w:rsid w:val="00E33C01"/>
    <w:rsid w:val="00E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1FE68"/>
  <w15:docId w15:val="{48855110-6969-4755-A7EA-176A93A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33"/>
    <w:pPr>
      <w:widowControl/>
      <w:spacing w:after="120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33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533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3">
    <w:name w:val="heading 3"/>
    <w:basedOn w:val="Normal"/>
    <w:uiPriority w:val="1"/>
    <w:qFormat/>
    <w:pPr>
      <w:ind w:left="320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31153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153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unhideWhenUsed/>
    <w:rsid w:val="003115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11533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311533"/>
    <w:rPr>
      <w:i/>
      <w:iCs/>
    </w:rPr>
  </w:style>
  <w:style w:type="paragraph" w:styleId="Footer">
    <w:name w:val="footer"/>
    <w:basedOn w:val="Normal"/>
    <w:link w:val="FooterChar"/>
    <w:unhideWhenUsed/>
    <w:rsid w:val="003115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311533"/>
    <w:rPr>
      <w:rFonts w:ascii="Segoe UI" w:eastAsia="Times New Roman" w:hAnsi="Segoe UI" w:cs="Times New Roman"/>
    </w:rPr>
  </w:style>
  <w:style w:type="paragraph" w:styleId="Header">
    <w:name w:val="header"/>
    <w:basedOn w:val="Normal"/>
    <w:link w:val="HeaderChar"/>
    <w:uiPriority w:val="99"/>
    <w:unhideWhenUsed/>
    <w:rsid w:val="003115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311533"/>
    <w:rPr>
      <w:rFonts w:ascii="Segoe UI" w:eastAsia="Times New Roman" w:hAnsi="Segoe UI" w:cs="Times New Roman"/>
    </w:rPr>
  </w:style>
  <w:style w:type="character" w:customStyle="1" w:styleId="Heading1Char">
    <w:name w:val="Heading 1 Char"/>
    <w:link w:val="Heading1"/>
    <w:uiPriority w:val="9"/>
    <w:rsid w:val="00311533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311533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311533"/>
    <w:rPr>
      <w:rFonts w:ascii="Segoe UI" w:eastAsia="Times New Roman" w:hAnsi="Segoe UI" w:cs="Times New Roman"/>
      <w:b/>
      <w:bCs/>
    </w:rPr>
  </w:style>
  <w:style w:type="character" w:styleId="Hyperlink">
    <w:name w:val="Hyperlink"/>
    <w:uiPriority w:val="99"/>
    <w:unhideWhenUsed/>
    <w:rsid w:val="00311533"/>
    <w:rPr>
      <w:color w:val="0000FF"/>
      <w:u w:val="single"/>
    </w:rPr>
  </w:style>
  <w:style w:type="character" w:styleId="IntenseEmphasis">
    <w:name w:val="Intense Emphasis"/>
    <w:uiPriority w:val="21"/>
    <w:qFormat/>
    <w:rsid w:val="00311533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311533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5F0C1C"/>
    <w:pPr>
      <w:numPr>
        <w:numId w:val="5"/>
      </w:numPr>
    </w:pPr>
  </w:style>
  <w:style w:type="paragraph" w:styleId="ListBullet2">
    <w:name w:val="List Bullet 2"/>
    <w:basedOn w:val="Normal"/>
    <w:uiPriority w:val="99"/>
    <w:unhideWhenUsed/>
    <w:rsid w:val="00311533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unhideWhenUsed/>
    <w:rsid w:val="00311533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unhideWhenUsed/>
    <w:rsid w:val="00311533"/>
    <w:pPr>
      <w:numPr>
        <w:numId w:val="11"/>
      </w:numPr>
      <w:contextualSpacing/>
    </w:pPr>
  </w:style>
  <w:style w:type="numbering" w:customStyle="1" w:styleId="ListCheckbox">
    <w:name w:val="List Checkbox"/>
    <w:basedOn w:val="NoList"/>
    <w:uiPriority w:val="99"/>
    <w:rsid w:val="00311533"/>
    <w:pPr>
      <w:numPr>
        <w:numId w:val="12"/>
      </w:numPr>
    </w:pPr>
  </w:style>
  <w:style w:type="paragraph" w:styleId="ListContinue2">
    <w:name w:val="List Continue 2"/>
    <w:basedOn w:val="Normal"/>
    <w:uiPriority w:val="99"/>
    <w:unhideWhenUsed/>
    <w:rsid w:val="00311533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5C5404"/>
    <w:pPr>
      <w:numPr>
        <w:numId w:val="14"/>
      </w:numPr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311533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unhideWhenUsed/>
    <w:rsid w:val="00311533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unhideWhenUsed/>
    <w:rsid w:val="00311533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311533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311533"/>
    <w:pPr>
      <w:widowControl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311533"/>
  </w:style>
  <w:style w:type="character" w:styleId="Strong">
    <w:name w:val="Strong"/>
    <w:uiPriority w:val="22"/>
    <w:qFormat/>
    <w:rsid w:val="00311533"/>
    <w:rPr>
      <w:b/>
      <w:bCs/>
    </w:rPr>
  </w:style>
  <w:style w:type="paragraph" w:customStyle="1" w:styleId="StyleHeading2After0pt">
    <w:name w:val="Style Heading 2 + After:  0 pt"/>
    <w:basedOn w:val="Heading2"/>
    <w:rsid w:val="00311533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311533"/>
    <w:rPr>
      <w:i/>
      <w:iCs/>
      <w:color w:val="404040"/>
    </w:rPr>
  </w:style>
  <w:style w:type="table" w:styleId="TableGrid">
    <w:name w:val="Table Grid"/>
    <w:basedOn w:val="TableNormal"/>
    <w:uiPriority w:val="59"/>
    <w:rsid w:val="00311533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5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5404"/>
    <w:pPr>
      <w:spacing w:after="0"/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5C5404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404"/>
    <w:pPr>
      <w:numPr>
        <w:ilvl w:val="1"/>
      </w:numPr>
      <w:spacing w:after="0"/>
      <w:jc w:val="center"/>
    </w:pPr>
    <w:rPr>
      <w:rFonts w:eastAsiaTheme="minorEastAsia" w:cstheme="minorBidi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C5404"/>
    <w:rPr>
      <w:rFonts w:ascii="Segoe UI" w:eastAsiaTheme="minorEastAsia" w:hAnsi="Segoe U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mtsac2.mywconline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file:///C:\Users\jlee494\Downloads\Mt.%20SAC%20Library%20websit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ccess@mtsac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E7E2A4124CA49B5BD11B8938BB480" ma:contentTypeVersion="16" ma:contentTypeDescription="Create a new document." ma:contentTypeScope="" ma:versionID="a4e0ea4df6b6bcd707f87b3d13533840">
  <xsd:schema xmlns:xsd="http://www.w3.org/2001/XMLSchema" xmlns:xs="http://www.w3.org/2001/XMLSchema" xmlns:p="http://schemas.microsoft.com/office/2006/metadata/properties" xmlns:ns2="55c31e73-abc8-4786-9fdf-eca6c96400cb" xmlns:ns3="ccbe3f28-63c7-485f-940a-7c239b795170" targetNamespace="http://schemas.microsoft.com/office/2006/metadata/properties" ma:root="true" ma:fieldsID="a2845df6e119413933080c96afc457a8" ns2:_="" ns3:_="">
    <xsd:import namespace="55c31e73-abc8-4786-9fdf-eca6c96400cb"/>
    <xsd:import namespace="ccbe3f28-63c7-485f-940a-7c239b795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1e73-abc8-4786-9fdf-eca6c964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e3f28-63c7-485f-940a-7c239b795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ebf58-c7e3-4f5c-90a1-2aed0ee7a29e}" ma:internalName="TaxCatchAll" ma:showField="CatchAllData" ma:web="ccbe3f28-63c7-485f-940a-7c239b795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1e73-abc8-4786-9fdf-eca6c96400cb">
      <Terms xmlns="http://schemas.microsoft.com/office/infopath/2007/PartnerControls"/>
    </lcf76f155ced4ddcb4097134ff3c332f>
    <TaxCatchAll xmlns="ccbe3f28-63c7-485f-940a-7c239b7951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807F-768C-4AF2-92F6-A8764033B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1e73-abc8-4786-9fdf-eca6c96400cb"/>
    <ds:schemaRef ds:uri="ccbe3f28-63c7-485f-940a-7c239b795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25DE7-C801-4605-B7CA-A063DAAA6A10}">
  <ds:schemaRefs>
    <ds:schemaRef ds:uri="http://schemas.microsoft.com/office/2006/metadata/properties"/>
    <ds:schemaRef ds:uri="http://schemas.microsoft.com/office/infopath/2007/PartnerControls"/>
    <ds:schemaRef ds:uri="55c31e73-abc8-4786-9fdf-eca6c96400cb"/>
    <ds:schemaRef ds:uri="ccbe3f28-63c7-485f-940a-7c239b795170"/>
  </ds:schemaRefs>
</ds:datastoreItem>
</file>

<file path=customXml/itemProps3.xml><?xml version="1.0" encoding="utf-8"?>
<ds:datastoreItem xmlns:ds="http://schemas.openxmlformats.org/officeDocument/2006/customXml" ds:itemID="{F475A627-1FC1-4A44-8088-AF85AC3E7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0F100-34E3-4953-812E-2B2B4E1C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to CA Citation YB DLA</vt:lpstr>
    </vt:vector>
  </TitlesOfParts>
  <Company>Mt. San Antonio College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CA Citation YB DLA</dc:title>
  <dc:creator>etyson</dc:creator>
  <cp:lastModifiedBy>O'Brien, Sophia</cp:lastModifiedBy>
  <cp:revision>2</cp:revision>
  <cp:lastPrinted>2018-06-13T22:16:00Z</cp:lastPrinted>
  <dcterms:created xsi:type="dcterms:W3CDTF">2023-04-27T17:20:00Z</dcterms:created>
  <dcterms:modified xsi:type="dcterms:W3CDTF">2023-04-27T17:20:00Z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2017-09-05T00:00:00Z</vt:filetime>
  </property>
  <property fmtid="{D5CDD505-2E9C-101B-9397-08002B2CF9AE}" pid="5" name="ContentTypeId">
    <vt:lpwstr>0x010100CA4E7E2A4124CA49B5BD11B8938BB480</vt:lpwstr>
  </property>
</Properties>
</file>