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7713E1" w:rsidP="007B2D27">
      <w:pPr>
        <w:jc w:val="right"/>
        <w:rPr>
          <w:sz w:val="22"/>
          <w:szCs w:val="22"/>
        </w:rPr>
      </w:pPr>
      <w:r>
        <w:rPr>
          <w:sz w:val="22"/>
          <w:szCs w:val="22"/>
        </w:rPr>
        <w:t>May 11</w:t>
      </w:r>
      <w:r w:rsidR="00EC0184">
        <w:rPr>
          <w:sz w:val="22"/>
          <w:szCs w:val="22"/>
        </w:rPr>
        <w:t>, 202</w:t>
      </w:r>
      <w:r w:rsidR="006C637F">
        <w:rPr>
          <w:sz w:val="22"/>
          <w:szCs w:val="22"/>
        </w:rPr>
        <w:t>1</w:t>
      </w:r>
      <w:r w:rsidR="009B61A0">
        <w:rPr>
          <w:sz w:val="22"/>
          <w:szCs w:val="22"/>
        </w:rPr>
        <w:t xml:space="preserve"> Agenda</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FB0803" w:rsidP="00FB0803">
      <w:pPr>
        <w:rPr>
          <w:rFonts w:asciiTheme="majorHAnsi" w:hAnsiTheme="majorHAnsi" w:cstheme="minorHAnsi"/>
          <w:b/>
          <w:i/>
          <w:sz w:val="16"/>
          <w:szCs w:val="16"/>
          <w:u w:val="none"/>
        </w:rPr>
      </w:pPr>
      <w:r>
        <w:rPr>
          <w:rFonts w:asciiTheme="majorHAnsi" w:hAnsiTheme="majorHAnsi" w:cstheme="minorHAnsi"/>
          <w:sz w:val="18"/>
          <w:u w:val="none"/>
        </w:rPr>
        <w:t>Patricia Maestro</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Mapping Coordinator,</w:t>
      </w:r>
      <w:r>
        <w:rPr>
          <w:rFonts w:asciiTheme="majorHAnsi" w:hAnsiTheme="majorHAnsi" w:cstheme="minorHAnsi"/>
          <w:sz w:val="18"/>
          <w:u w:val="none"/>
        </w:rPr>
        <w:t xml:space="preserve"> </w:t>
      </w:r>
      <w:r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Instructional Services,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6E4BEC" w:rsidRDefault="006E4BEC" w:rsidP="006E4BEC">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3F7C6D" w:rsidP="00FB0803">
      <w:pPr>
        <w:rPr>
          <w:rFonts w:asciiTheme="majorHAnsi" w:hAnsiTheme="majorHAnsi" w:cstheme="minorHAnsi"/>
          <w:sz w:val="18"/>
          <w:u w:val="none"/>
        </w:rPr>
      </w:pPr>
      <w:r>
        <w:rPr>
          <w:rFonts w:asciiTheme="majorHAnsi" w:hAnsiTheme="majorHAnsi" w:cstheme="minorHAnsi"/>
          <w:sz w:val="18"/>
          <w:u w:val="none"/>
        </w:rPr>
        <w:t>Barbara Mezaki</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Humanities &amp; </w:t>
      </w:r>
      <w:r w:rsidR="00FB0803" w:rsidRPr="00DE3C62">
        <w:rPr>
          <w:rFonts w:asciiTheme="majorHAnsi" w:hAnsiTheme="majorHAnsi" w:cstheme="minorHAnsi"/>
          <w:i/>
          <w:sz w:val="16"/>
          <w:szCs w:val="16"/>
          <w:u w:val="none"/>
        </w:rPr>
        <w:t xml:space="preserve">Social Sciences </w:t>
      </w:r>
      <w:r w:rsidR="00FB0803"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Library &amp; Learning Resources Faculty</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Natural Sciences</w:t>
      </w:r>
      <w:r>
        <w:rPr>
          <w:rFonts w:asciiTheme="majorHAnsi" w:hAnsiTheme="majorHAnsi" w:cstheme="minorHAnsi"/>
          <w:sz w:val="18"/>
          <w:u w:val="none"/>
        </w:rPr>
        <w:t xml:space="preserve"> </w:t>
      </w:r>
      <w:r w:rsidRPr="003C6602">
        <w:rPr>
          <w:rFonts w:asciiTheme="majorHAnsi" w:hAnsiTheme="majorHAnsi" w:cstheme="minorHAnsi"/>
          <w:i/>
          <w:sz w:val="16"/>
          <w:szCs w:val="16"/>
          <w:u w:val="none"/>
        </w:rPr>
        <w:t>Faculty</w:t>
      </w:r>
      <w:r w:rsidRPr="00AC4FCD">
        <w:rPr>
          <w:rFonts w:asciiTheme="majorHAnsi" w:hAnsiTheme="majorHAnsi" w:cstheme="minorHAnsi"/>
          <w:sz w:val="18"/>
          <w:u w:val="none"/>
        </w:rPr>
        <w:t xml:space="preserve"> </w:t>
      </w:r>
      <w:r>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FB0803" w:rsidRPr="00E94EB6" w:rsidRDefault="00FB0803" w:rsidP="006E4BEC">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4C133A" w:rsidRPr="00E94EB6" w:rsidRDefault="004C133A" w:rsidP="004C133A">
      <w:pPr>
        <w:rPr>
          <w:rFonts w:asciiTheme="majorHAnsi" w:hAnsiTheme="majorHAnsi" w:cstheme="minorHAnsi"/>
          <w:b/>
          <w:sz w:val="18"/>
          <w:u w:val="none"/>
        </w:rPr>
      </w:pPr>
      <w:r>
        <w:rPr>
          <w:rFonts w:asciiTheme="majorHAnsi" w:hAnsiTheme="majorHAnsi" w:cstheme="minorHAnsi"/>
          <w:sz w:val="18"/>
          <w:u w:val="none"/>
        </w:rPr>
        <w:t>Caron Gomes</w:t>
      </w:r>
      <w:r w:rsidRPr="003C6602">
        <w:rPr>
          <w:rFonts w:asciiTheme="majorHAnsi" w:hAnsiTheme="majorHAnsi" w:cstheme="minorHAnsi"/>
          <w:sz w:val="18"/>
          <w:u w:val="none"/>
        </w:rPr>
        <w:t xml:space="preserve">, </w:t>
      </w:r>
      <w:r>
        <w:rPr>
          <w:rFonts w:asciiTheme="majorHAnsi" w:hAnsiTheme="majorHAnsi" w:cstheme="minorHAnsi"/>
          <w:i/>
          <w:sz w:val="16"/>
          <w:szCs w:val="16"/>
          <w:u w:val="none"/>
        </w:rPr>
        <w:t>Systems Analyst/ Programmer</w:t>
      </w:r>
    </w:p>
    <w:p w:rsidR="0037464B" w:rsidRDefault="00FB0803" w:rsidP="0037464B">
      <w:pPr>
        <w:rPr>
          <w:rFonts w:asciiTheme="majorHAnsi" w:hAnsiTheme="majorHAnsi" w:cstheme="minorHAnsi"/>
          <w:sz w:val="18"/>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r w:rsidR="0037464B" w:rsidRPr="0037464B">
        <w:rPr>
          <w:rFonts w:asciiTheme="majorHAnsi" w:hAnsiTheme="majorHAnsi" w:cstheme="minorHAnsi"/>
          <w:sz w:val="18"/>
          <w:u w:val="none"/>
        </w:rPr>
        <w:t xml:space="preserve"> </w:t>
      </w:r>
      <w:r w:rsidR="0037464B">
        <w:rPr>
          <w:rFonts w:asciiTheme="majorHAnsi" w:hAnsiTheme="majorHAnsi" w:cstheme="minorHAnsi"/>
          <w:sz w:val="18"/>
          <w:u w:val="none"/>
        </w:rPr>
        <w:t xml:space="preserve">Cristina Springfield, </w:t>
      </w:r>
      <w:r w:rsidR="0037464B">
        <w:rPr>
          <w:rFonts w:asciiTheme="majorHAnsi" w:hAnsiTheme="majorHAnsi" w:cstheme="minorHAnsi"/>
          <w:i/>
          <w:sz w:val="16"/>
          <w:szCs w:val="16"/>
          <w:u w:val="none"/>
        </w:rPr>
        <w:t xml:space="preserve">Librarian </w:t>
      </w:r>
      <w:r w:rsidR="0037464B">
        <w:rPr>
          <w:rFonts w:asciiTheme="majorHAnsi" w:hAnsiTheme="majorHAnsi" w:cstheme="minorHAnsi"/>
          <w:i/>
          <w:sz w:val="16"/>
          <w:szCs w:val="16"/>
          <w:u w:val="none"/>
        </w:rPr>
        <w:tab/>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37464B" w:rsidRDefault="0037464B" w:rsidP="00FB0803">
      <w:pPr>
        <w:rPr>
          <w:rFonts w:asciiTheme="majorHAnsi" w:hAnsiTheme="majorHAnsi" w:cstheme="minorHAnsi"/>
          <w:sz w:val="18"/>
          <w:u w:val="none"/>
        </w:rPr>
      </w:pPr>
    </w:p>
    <w:p w:rsidR="0037464B" w:rsidRDefault="0037464B" w:rsidP="00FB0803">
      <w:pPr>
        <w:rPr>
          <w:sz w:val="22"/>
          <w:szCs w:val="22"/>
        </w:rPr>
        <w:sectPr w:rsidR="0037464B" w:rsidSect="007B2D27">
          <w:type w:val="continuous"/>
          <w:pgSz w:w="12240" w:h="15840"/>
          <w:pgMar w:top="720" w:right="720" w:bottom="720" w:left="720" w:header="720" w:footer="720" w:gutter="0"/>
          <w:cols w:num="3" w:space="720"/>
          <w:docGrid w:linePitch="360"/>
        </w:sectPr>
      </w:pPr>
    </w:p>
    <w:tbl>
      <w:tblPr>
        <w:tblStyle w:val="TableGrid"/>
        <w:tblpPr w:leftFromText="180" w:rightFromText="180" w:vertAnchor="text" w:horzAnchor="margin" w:tblpY="330"/>
        <w:tblW w:w="10885" w:type="dxa"/>
        <w:tblLayout w:type="fixed"/>
        <w:tblLook w:val="04A0" w:firstRow="1" w:lastRow="0" w:firstColumn="1" w:lastColumn="0" w:noHBand="0" w:noVBand="1"/>
      </w:tblPr>
      <w:tblGrid>
        <w:gridCol w:w="5755"/>
        <w:gridCol w:w="5130"/>
      </w:tblGrid>
      <w:tr w:rsidR="00BF00BE" w:rsidTr="00BF00BE">
        <w:trPr>
          <w:tblHeader/>
        </w:trPr>
        <w:tc>
          <w:tcPr>
            <w:tcW w:w="5755" w:type="dxa"/>
            <w:shd w:val="clear" w:color="auto" w:fill="D9D9D9" w:themeFill="background1" w:themeFillShade="D9"/>
          </w:tcPr>
          <w:p w:rsidR="00BF00BE" w:rsidRPr="00C93D6C" w:rsidRDefault="00BF00BE" w:rsidP="00BF00BE">
            <w:pPr>
              <w:jc w:val="center"/>
              <w:rPr>
                <w:b/>
              </w:rPr>
            </w:pPr>
            <w:r>
              <w:rPr>
                <w:b/>
              </w:rPr>
              <w:t>M</w:t>
            </w:r>
            <w:r w:rsidRPr="00C93D6C">
              <w:rPr>
                <w:b/>
              </w:rPr>
              <w:t>eeting Agenda</w:t>
            </w:r>
          </w:p>
        </w:tc>
        <w:tc>
          <w:tcPr>
            <w:tcW w:w="5130" w:type="dxa"/>
            <w:shd w:val="clear" w:color="auto" w:fill="D9D9D9" w:themeFill="background1" w:themeFillShade="D9"/>
          </w:tcPr>
          <w:p w:rsidR="00BF00BE" w:rsidRPr="00C93D6C" w:rsidRDefault="00BF00BE" w:rsidP="00BF00BE">
            <w:pPr>
              <w:jc w:val="center"/>
              <w:rPr>
                <w:b/>
              </w:rPr>
            </w:pPr>
            <w:r w:rsidRPr="00C93D6C">
              <w:rPr>
                <w:b/>
              </w:rPr>
              <w:t>Outcomes</w:t>
            </w:r>
          </w:p>
        </w:tc>
      </w:tr>
      <w:tr w:rsidR="00BF00BE" w:rsidTr="00BF00BE">
        <w:tc>
          <w:tcPr>
            <w:tcW w:w="5755" w:type="dxa"/>
          </w:tcPr>
          <w:p w:rsidR="00BF00BE" w:rsidRPr="00E42019" w:rsidRDefault="00BF00BE" w:rsidP="00B42B7D">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r>
              <w:rPr>
                <w:rFonts w:asciiTheme="majorHAnsi" w:hAnsiTheme="majorHAnsi" w:cstheme="majorHAnsi"/>
                <w:b/>
                <w:szCs w:val="20"/>
              </w:rPr>
              <w:t xml:space="preserve">– </w:t>
            </w:r>
          </w:p>
        </w:tc>
        <w:tc>
          <w:tcPr>
            <w:tcW w:w="5130" w:type="dxa"/>
          </w:tcPr>
          <w:p w:rsidR="00BF00BE" w:rsidRPr="00421795" w:rsidRDefault="00BF00BE" w:rsidP="00BF00BE">
            <w:pPr>
              <w:rPr>
                <w:rFonts w:asciiTheme="minorHAnsi" w:hAnsiTheme="minorHAnsi" w:cstheme="minorHAnsi"/>
                <w:szCs w:val="22"/>
                <w:u w:val="none"/>
              </w:rPr>
            </w:pPr>
            <w:r w:rsidRPr="00AC51CC">
              <w:rPr>
                <w:rFonts w:asciiTheme="minorHAnsi" w:hAnsiTheme="minorHAnsi" w:cstheme="minorHAnsi"/>
                <w:u w:val="none"/>
              </w:rPr>
              <w:t xml:space="preserve">I would like to take a moment to acknowledge that Mt. SAC is geographically situated on the traditional lands of the native, indigenous peoples whose land was taken from them. I ask you to join me in acknowledging their community, their elders both past and present, as well as future generations. May we strive to honor the land and the people who have stewarded it throughout the </w:t>
            </w:r>
            <w:proofErr w:type="gramStart"/>
            <w:r w:rsidRPr="00AC51CC">
              <w:rPr>
                <w:rFonts w:asciiTheme="minorHAnsi" w:hAnsiTheme="minorHAnsi" w:cstheme="minorHAnsi"/>
                <w:u w:val="none"/>
              </w:rPr>
              <w:t>generations.</w:t>
            </w:r>
            <w:proofErr w:type="gramEnd"/>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BF00BE" w:rsidRPr="00E42019" w:rsidRDefault="007713E1" w:rsidP="00BF00BE">
            <w:pPr>
              <w:pStyle w:val="ListParagraph"/>
              <w:numPr>
                <w:ilvl w:val="0"/>
                <w:numId w:val="2"/>
              </w:numPr>
              <w:rPr>
                <w:rFonts w:asciiTheme="majorHAnsi" w:hAnsiTheme="majorHAnsi" w:cstheme="majorHAnsi"/>
                <w:b/>
                <w:szCs w:val="20"/>
              </w:rPr>
            </w:pPr>
            <w:r>
              <w:rPr>
                <w:rFonts w:asciiTheme="majorHAnsi" w:hAnsiTheme="majorHAnsi" w:cstheme="majorHAnsi"/>
                <w:b/>
                <w:szCs w:val="20"/>
              </w:rPr>
              <w:t>April 27</w:t>
            </w:r>
            <w:r w:rsidR="00BF00BE">
              <w:rPr>
                <w:rFonts w:asciiTheme="majorHAnsi" w:hAnsiTheme="majorHAnsi" w:cstheme="majorHAnsi"/>
                <w:b/>
                <w:szCs w:val="20"/>
              </w:rPr>
              <w:t>, 2021</w:t>
            </w:r>
          </w:p>
        </w:tc>
        <w:tc>
          <w:tcPr>
            <w:tcW w:w="5130" w:type="dxa"/>
          </w:tcPr>
          <w:p w:rsidR="00BF00BE" w:rsidRPr="00DD6F1C" w:rsidRDefault="00BF00BE" w:rsidP="00BF00BE">
            <w:pPr>
              <w:rPr>
                <w:rFonts w:ascii="Calibri" w:hAnsi="Calibri" w:cs="Calibri"/>
                <w:szCs w:val="20"/>
                <w:u w:val="none"/>
              </w:rPr>
            </w:pPr>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p>
        </w:tc>
        <w:tc>
          <w:tcPr>
            <w:tcW w:w="5130" w:type="dxa"/>
          </w:tcPr>
          <w:p w:rsidR="00BF00BE" w:rsidRPr="00063FFC" w:rsidRDefault="00BF00BE" w:rsidP="00BF00BE">
            <w:pPr>
              <w:rPr>
                <w:rFonts w:asciiTheme="minorHAnsi" w:hAnsiTheme="minorHAnsi" w:cstheme="minorHAnsi"/>
                <w:szCs w:val="20"/>
              </w:rPr>
            </w:pPr>
          </w:p>
        </w:tc>
      </w:tr>
      <w:tr w:rsidR="00BF00BE" w:rsidTr="00BF00BE">
        <w:tc>
          <w:tcPr>
            <w:tcW w:w="5755" w:type="dxa"/>
          </w:tcPr>
          <w:p w:rsidR="00BF00BE" w:rsidRPr="00597EA1" w:rsidRDefault="007713E1" w:rsidP="00752F68">
            <w:pPr>
              <w:pStyle w:val="ListParagraph"/>
              <w:numPr>
                <w:ilvl w:val="0"/>
                <w:numId w:val="1"/>
              </w:numPr>
              <w:rPr>
                <w:rFonts w:asciiTheme="majorHAnsi" w:hAnsiTheme="majorHAnsi" w:cstheme="majorHAnsi"/>
                <w:b/>
              </w:rPr>
            </w:pPr>
            <w:r>
              <w:rPr>
                <w:rFonts w:asciiTheme="majorHAnsi" w:hAnsiTheme="majorHAnsi" w:cstheme="majorHAnsi"/>
                <w:b/>
              </w:rPr>
              <w:t>Committee Goals (PFM) – Patricia Maestro &amp; Michelle Sampat</w:t>
            </w:r>
          </w:p>
        </w:tc>
        <w:tc>
          <w:tcPr>
            <w:tcW w:w="5130" w:type="dxa"/>
          </w:tcPr>
          <w:p w:rsidR="00BF00BE" w:rsidRDefault="00BF00BE" w:rsidP="00BF00BE">
            <w:pPr>
              <w:rPr>
                <w:rFonts w:ascii="Calibri" w:hAnsi="Calibri" w:cs="Calibri"/>
                <w:szCs w:val="20"/>
              </w:rPr>
            </w:pPr>
          </w:p>
        </w:tc>
      </w:tr>
      <w:tr w:rsidR="00391439" w:rsidTr="00BF00BE">
        <w:tc>
          <w:tcPr>
            <w:tcW w:w="5755" w:type="dxa"/>
          </w:tcPr>
          <w:p w:rsidR="00391439" w:rsidRPr="007713E1" w:rsidRDefault="00545DFC" w:rsidP="007713E1">
            <w:pPr>
              <w:pStyle w:val="ListParagraph"/>
              <w:numPr>
                <w:ilvl w:val="0"/>
                <w:numId w:val="1"/>
              </w:numPr>
              <w:rPr>
                <w:rFonts w:asciiTheme="majorHAnsi" w:hAnsiTheme="majorHAnsi" w:cstheme="majorHAnsi"/>
                <w:b/>
              </w:rPr>
            </w:pPr>
            <w:r>
              <w:rPr>
                <w:rFonts w:asciiTheme="majorHAnsi" w:hAnsiTheme="majorHAnsi" w:cstheme="majorHAnsi"/>
                <w:b/>
              </w:rPr>
              <w:t>New Student Pathways Exercise</w:t>
            </w:r>
          </w:p>
        </w:tc>
        <w:tc>
          <w:tcPr>
            <w:tcW w:w="5130" w:type="dxa"/>
          </w:tcPr>
          <w:p w:rsidR="00391439" w:rsidRDefault="00391439" w:rsidP="00BF00BE">
            <w:pPr>
              <w:rPr>
                <w:rFonts w:ascii="Calibri" w:hAnsi="Calibri" w:cs="Calibri"/>
                <w:szCs w:val="20"/>
              </w:rPr>
            </w:pPr>
          </w:p>
        </w:tc>
      </w:tr>
      <w:tr w:rsidR="00BF00BE" w:rsidTr="00BF00BE">
        <w:tc>
          <w:tcPr>
            <w:tcW w:w="5755" w:type="dxa"/>
          </w:tcPr>
          <w:p w:rsidR="00BF00BE" w:rsidRPr="00BF00BE" w:rsidRDefault="00BF00BE" w:rsidP="00BF00BE">
            <w:pPr>
              <w:pStyle w:val="ListParagraph"/>
              <w:numPr>
                <w:ilvl w:val="0"/>
                <w:numId w:val="1"/>
              </w:numPr>
              <w:rPr>
                <w:rFonts w:asciiTheme="majorHAnsi" w:hAnsiTheme="majorHAnsi" w:cstheme="majorHAnsi"/>
                <w:b/>
              </w:rPr>
            </w:pPr>
            <w:bookmarkStart w:id="0" w:name="_GoBack"/>
            <w:bookmarkEnd w:id="0"/>
            <w:r w:rsidRPr="00E011FC">
              <w:rPr>
                <w:rFonts w:asciiTheme="majorHAnsi" w:hAnsiTheme="majorHAnsi" w:cstheme="majorHAnsi"/>
                <w:b/>
              </w:rPr>
              <w:t>Other</w:t>
            </w:r>
          </w:p>
        </w:tc>
        <w:tc>
          <w:tcPr>
            <w:tcW w:w="5130" w:type="dxa"/>
          </w:tcPr>
          <w:p w:rsidR="00BF00BE" w:rsidRPr="00BE2885" w:rsidRDefault="00BF00BE" w:rsidP="00BF00BE">
            <w:pPr>
              <w:rPr>
                <w:rFonts w:ascii="Calibri" w:hAnsi="Calibri" w:cs="Calibri"/>
                <w:szCs w:val="20"/>
              </w:rPr>
            </w:pPr>
          </w:p>
        </w:tc>
      </w:tr>
      <w:tr w:rsidR="00BF00BE" w:rsidTr="005F4894">
        <w:trPr>
          <w:trHeight w:val="1226"/>
        </w:trPr>
        <w:tc>
          <w:tcPr>
            <w:tcW w:w="5755" w:type="dxa"/>
          </w:tcPr>
          <w:p w:rsidR="00BF00BE" w:rsidRDefault="00BF00BE" w:rsidP="00BF00BE">
            <w:pPr>
              <w:pStyle w:val="ListParagraph"/>
              <w:numPr>
                <w:ilvl w:val="0"/>
                <w:numId w:val="1"/>
              </w:numPr>
              <w:rPr>
                <w:rFonts w:asciiTheme="majorHAnsi" w:hAnsiTheme="majorHAnsi" w:cstheme="majorHAnsi"/>
                <w:b/>
              </w:rPr>
            </w:pPr>
            <w:r>
              <w:rPr>
                <w:rFonts w:asciiTheme="majorHAnsi" w:hAnsiTheme="majorHAnsi" w:cstheme="majorHAnsi"/>
                <w:b/>
              </w:rPr>
              <w:t>Parking Lot</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New and Modified Maps</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Maps in Catalog</w:t>
            </w:r>
          </w:p>
          <w:p w:rsidR="00BF00BE" w:rsidRPr="00BF00BE" w:rsidRDefault="00BF00BE" w:rsidP="00BF00BE">
            <w:pPr>
              <w:pStyle w:val="ListParagraph"/>
              <w:numPr>
                <w:ilvl w:val="0"/>
                <w:numId w:val="9"/>
              </w:numPr>
              <w:rPr>
                <w:rFonts w:asciiTheme="majorHAnsi" w:hAnsiTheme="majorHAnsi" w:cstheme="majorHAnsi"/>
                <w:b/>
              </w:rPr>
            </w:pPr>
            <w:proofErr w:type="spellStart"/>
            <w:r>
              <w:rPr>
                <w:rFonts w:asciiTheme="majorHAnsi" w:hAnsiTheme="majorHAnsi" w:cstheme="majorHAnsi"/>
                <w:b/>
              </w:rPr>
              <w:t>WebCMS</w:t>
            </w:r>
            <w:proofErr w:type="spellEnd"/>
            <w:r>
              <w:rPr>
                <w:rFonts w:asciiTheme="majorHAnsi" w:hAnsiTheme="majorHAnsi" w:cstheme="majorHAnsi"/>
                <w:b/>
              </w:rPr>
              <w:t xml:space="preserve"> Mapping Supplemental Form</w:t>
            </w:r>
          </w:p>
        </w:tc>
        <w:tc>
          <w:tcPr>
            <w:tcW w:w="5130" w:type="dxa"/>
          </w:tcPr>
          <w:p w:rsidR="00BF00BE" w:rsidRPr="00BE2885" w:rsidRDefault="00BF00BE" w:rsidP="00BF00BE">
            <w:pPr>
              <w:rPr>
                <w:rFonts w:ascii="Calibri" w:hAnsi="Calibri" w:cs="Calibri"/>
                <w:szCs w:val="20"/>
              </w:rPr>
            </w:pPr>
          </w:p>
        </w:tc>
      </w:tr>
    </w:tbl>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t>2020-21</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EC0184" w:rsidP="00C01598">
            <w:pPr>
              <w:tabs>
                <w:tab w:val="left" w:pos="1890"/>
              </w:tabs>
              <w:rPr>
                <w:rFonts w:ascii="Tahoma" w:hAnsi="Tahoma" w:cs="Tahoma"/>
                <w:b/>
                <w:sz w:val="14"/>
                <w:szCs w:val="16"/>
              </w:rPr>
            </w:pPr>
            <w:r>
              <w:rPr>
                <w:rFonts w:ascii="Tahoma" w:hAnsi="Tahoma" w:cs="Tahoma"/>
                <w:b/>
                <w:sz w:val="14"/>
                <w:szCs w:val="16"/>
              </w:rPr>
              <w:t>Fall 2020</w:t>
            </w:r>
          </w:p>
          <w:p w:rsidR="00DF77DF" w:rsidRDefault="00EC0184" w:rsidP="00C01598">
            <w:pPr>
              <w:tabs>
                <w:tab w:val="left" w:pos="1890"/>
              </w:tabs>
              <w:rPr>
                <w:rFonts w:ascii="Tahoma" w:hAnsi="Tahoma" w:cs="Tahoma"/>
                <w:sz w:val="14"/>
                <w:szCs w:val="16"/>
              </w:rPr>
            </w:pPr>
            <w:r>
              <w:rPr>
                <w:rFonts w:ascii="Tahoma" w:hAnsi="Tahoma" w:cs="Tahoma"/>
                <w:sz w:val="14"/>
                <w:szCs w:val="16"/>
              </w:rPr>
              <w:t>September 8</w:t>
            </w:r>
            <w:r w:rsidR="00DF77DF">
              <w:rPr>
                <w:rFonts w:ascii="Tahoma" w:hAnsi="Tahoma" w:cs="Tahoma"/>
                <w:sz w:val="14"/>
                <w:szCs w:val="16"/>
              </w:rPr>
              <w:t xml:space="preserve"> &amp; 2</w:t>
            </w:r>
            <w:r>
              <w:rPr>
                <w:rFonts w:ascii="Tahoma" w:hAnsi="Tahoma" w:cs="Tahoma"/>
                <w:sz w:val="14"/>
                <w:szCs w:val="16"/>
              </w:rPr>
              <w:t>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October 13, 27</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November 10 &amp; 24</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EC0184">
              <w:rPr>
                <w:rFonts w:ascii="Tahoma" w:hAnsi="Tahoma" w:cs="Tahoma"/>
                <w:b/>
                <w:sz w:val="14"/>
                <w:szCs w:val="16"/>
              </w:rPr>
              <w:t xml:space="preserve"> 2021</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March 9</w:t>
            </w:r>
            <w:r w:rsidR="00DF77DF">
              <w:rPr>
                <w:rFonts w:ascii="Tahoma" w:hAnsi="Tahoma" w:cs="Tahoma"/>
                <w:sz w:val="14"/>
                <w:szCs w:val="16"/>
              </w:rPr>
              <w:t xml:space="preserve"> &amp; 2</w:t>
            </w:r>
            <w:r>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896105" w:rsidP="00C01598">
            <w:pPr>
              <w:tabs>
                <w:tab w:val="left" w:pos="1890"/>
              </w:tabs>
              <w:rPr>
                <w:rFonts w:ascii="Tahoma" w:hAnsi="Tahoma" w:cs="Tahoma"/>
                <w:sz w:val="14"/>
                <w:szCs w:val="16"/>
              </w:rPr>
            </w:pPr>
            <w:r>
              <w:rPr>
                <w:rFonts w:ascii="Tahoma" w:hAnsi="Tahoma" w:cs="Tahoma"/>
                <w:sz w:val="14"/>
                <w:szCs w:val="16"/>
              </w:rPr>
              <w:t>April 13 &amp; 27</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11 &amp; 25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DF77DF" w:rsidP="00C01598">
            <w:pPr>
              <w:tabs>
                <w:tab w:val="left" w:pos="1890"/>
              </w:tabs>
              <w:rPr>
                <w:rFonts w:ascii="Tahoma" w:hAnsi="Tahoma" w:cs="Tahoma"/>
                <w:sz w:val="14"/>
                <w:szCs w:val="16"/>
              </w:rPr>
            </w:pP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Segoe UI Light"/>
    <w:charset w:val="00"/>
    <w:family w:val="roman"/>
    <w:pitch w:val="default"/>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0CA7"/>
    <w:multiLevelType w:val="hybridMultilevel"/>
    <w:tmpl w:val="2682B71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476F359E"/>
    <w:multiLevelType w:val="hybridMultilevel"/>
    <w:tmpl w:val="713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07577"/>
    <w:multiLevelType w:val="hybridMultilevel"/>
    <w:tmpl w:val="59AE03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596B289A"/>
    <w:multiLevelType w:val="hybridMultilevel"/>
    <w:tmpl w:val="66B46DCE"/>
    <w:lvl w:ilvl="0" w:tplc="9DB22F14">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9"/>
  </w:num>
  <w:num w:numId="6">
    <w:abstractNumId w:val="6"/>
  </w:num>
  <w:num w:numId="7">
    <w:abstractNumId w:val="5"/>
  </w:num>
  <w:num w:numId="8">
    <w:abstractNumId w:val="4"/>
  </w:num>
  <w:num w:numId="9">
    <w:abstractNumId w:val="0"/>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C0A1D"/>
    <w:rsid w:val="000D738A"/>
    <w:rsid w:val="000E7447"/>
    <w:rsid w:val="00161D23"/>
    <w:rsid w:val="001E14DB"/>
    <w:rsid w:val="0022122D"/>
    <w:rsid w:val="00263209"/>
    <w:rsid w:val="002676EA"/>
    <w:rsid w:val="00273DEC"/>
    <w:rsid w:val="00291A6A"/>
    <w:rsid w:val="002B4CC3"/>
    <w:rsid w:val="00303851"/>
    <w:rsid w:val="0031629E"/>
    <w:rsid w:val="00372786"/>
    <w:rsid w:val="0037464B"/>
    <w:rsid w:val="00382291"/>
    <w:rsid w:val="0038525F"/>
    <w:rsid w:val="00391439"/>
    <w:rsid w:val="00392650"/>
    <w:rsid w:val="003A4DEF"/>
    <w:rsid w:val="003D0A7A"/>
    <w:rsid w:val="003D260F"/>
    <w:rsid w:val="003E127D"/>
    <w:rsid w:val="003E2B20"/>
    <w:rsid w:val="003E6CF3"/>
    <w:rsid w:val="003F7C6D"/>
    <w:rsid w:val="004047C1"/>
    <w:rsid w:val="00411D22"/>
    <w:rsid w:val="004171B1"/>
    <w:rsid w:val="00421795"/>
    <w:rsid w:val="00425FA9"/>
    <w:rsid w:val="00451C38"/>
    <w:rsid w:val="00452B00"/>
    <w:rsid w:val="0046521F"/>
    <w:rsid w:val="00465E0E"/>
    <w:rsid w:val="0046614B"/>
    <w:rsid w:val="004857EA"/>
    <w:rsid w:val="00485E96"/>
    <w:rsid w:val="004B1463"/>
    <w:rsid w:val="004C02E7"/>
    <w:rsid w:val="004C133A"/>
    <w:rsid w:val="00511467"/>
    <w:rsid w:val="00511D94"/>
    <w:rsid w:val="00516A92"/>
    <w:rsid w:val="00545DFC"/>
    <w:rsid w:val="005464EE"/>
    <w:rsid w:val="00565DB9"/>
    <w:rsid w:val="00597EA1"/>
    <w:rsid w:val="005A0BAA"/>
    <w:rsid w:val="005A1139"/>
    <w:rsid w:val="005B4110"/>
    <w:rsid w:val="005C5DB7"/>
    <w:rsid w:val="005D0921"/>
    <w:rsid w:val="005F1684"/>
    <w:rsid w:val="005F4894"/>
    <w:rsid w:val="005F5695"/>
    <w:rsid w:val="005F68F5"/>
    <w:rsid w:val="006376F5"/>
    <w:rsid w:val="00653113"/>
    <w:rsid w:val="006561A6"/>
    <w:rsid w:val="00676A27"/>
    <w:rsid w:val="006C637F"/>
    <w:rsid w:val="006E4BEC"/>
    <w:rsid w:val="006E6F53"/>
    <w:rsid w:val="00726D3C"/>
    <w:rsid w:val="00727877"/>
    <w:rsid w:val="00752F68"/>
    <w:rsid w:val="007713E1"/>
    <w:rsid w:val="007B2D27"/>
    <w:rsid w:val="007B6887"/>
    <w:rsid w:val="007C3617"/>
    <w:rsid w:val="007D1A79"/>
    <w:rsid w:val="007D1AFA"/>
    <w:rsid w:val="007F2782"/>
    <w:rsid w:val="007F4A89"/>
    <w:rsid w:val="00846536"/>
    <w:rsid w:val="00861334"/>
    <w:rsid w:val="00862AEF"/>
    <w:rsid w:val="00896105"/>
    <w:rsid w:val="008C19DC"/>
    <w:rsid w:val="008E12A0"/>
    <w:rsid w:val="008F245B"/>
    <w:rsid w:val="008F5252"/>
    <w:rsid w:val="00935E90"/>
    <w:rsid w:val="00993A47"/>
    <w:rsid w:val="009A723C"/>
    <w:rsid w:val="009B61A0"/>
    <w:rsid w:val="009C36ED"/>
    <w:rsid w:val="009C3BD4"/>
    <w:rsid w:val="009C6E90"/>
    <w:rsid w:val="009D5553"/>
    <w:rsid w:val="009E528B"/>
    <w:rsid w:val="009F5B8F"/>
    <w:rsid w:val="00A1067C"/>
    <w:rsid w:val="00A179E0"/>
    <w:rsid w:val="00A26378"/>
    <w:rsid w:val="00A40986"/>
    <w:rsid w:val="00A71D84"/>
    <w:rsid w:val="00A85613"/>
    <w:rsid w:val="00AA5762"/>
    <w:rsid w:val="00AC4FCD"/>
    <w:rsid w:val="00AC51CC"/>
    <w:rsid w:val="00AD21FB"/>
    <w:rsid w:val="00AD6CCD"/>
    <w:rsid w:val="00AE194C"/>
    <w:rsid w:val="00B36CB2"/>
    <w:rsid w:val="00B42B7D"/>
    <w:rsid w:val="00B43AD6"/>
    <w:rsid w:val="00B638A8"/>
    <w:rsid w:val="00BB6299"/>
    <w:rsid w:val="00BE2885"/>
    <w:rsid w:val="00BF00BE"/>
    <w:rsid w:val="00C36EFB"/>
    <w:rsid w:val="00CA1CCD"/>
    <w:rsid w:val="00CF33AA"/>
    <w:rsid w:val="00D12595"/>
    <w:rsid w:val="00D60F07"/>
    <w:rsid w:val="00D6452B"/>
    <w:rsid w:val="00D6610E"/>
    <w:rsid w:val="00D708A0"/>
    <w:rsid w:val="00D70CC7"/>
    <w:rsid w:val="00D85DB7"/>
    <w:rsid w:val="00DA1347"/>
    <w:rsid w:val="00DA55BB"/>
    <w:rsid w:val="00DB1038"/>
    <w:rsid w:val="00DB4810"/>
    <w:rsid w:val="00DD03AD"/>
    <w:rsid w:val="00DD6F1C"/>
    <w:rsid w:val="00DE25AE"/>
    <w:rsid w:val="00DE3C62"/>
    <w:rsid w:val="00DF409A"/>
    <w:rsid w:val="00DF5487"/>
    <w:rsid w:val="00DF59AB"/>
    <w:rsid w:val="00DF77DF"/>
    <w:rsid w:val="00E011FC"/>
    <w:rsid w:val="00E22F56"/>
    <w:rsid w:val="00E232B9"/>
    <w:rsid w:val="00E42019"/>
    <w:rsid w:val="00E420DE"/>
    <w:rsid w:val="00E645AB"/>
    <w:rsid w:val="00EA2ABC"/>
    <w:rsid w:val="00EA3F12"/>
    <w:rsid w:val="00EB1CB8"/>
    <w:rsid w:val="00EC0184"/>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5EAF"/>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70736-36B6-4166-BE16-0151F2CB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4</cp:revision>
  <dcterms:created xsi:type="dcterms:W3CDTF">2021-05-04T14:12:00Z</dcterms:created>
  <dcterms:modified xsi:type="dcterms:W3CDTF">2021-05-04T17:39:00Z</dcterms:modified>
</cp:coreProperties>
</file>