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D84A" w14:textId="2366C0B4" w:rsidR="00B639C3" w:rsidRDefault="00B639C3" w:rsidP="004A307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  <w:t>For Spring 2023 Addendum</w:t>
      </w:r>
    </w:p>
    <w:p w14:paraId="12924CC7" w14:textId="77777777" w:rsidR="00B639C3" w:rsidRDefault="00B639C3" w:rsidP="00B639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</w:pPr>
    </w:p>
    <w:p w14:paraId="43F747B0" w14:textId="53B55469" w:rsidR="00C04652" w:rsidRDefault="006C6F82" w:rsidP="00B639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</w:pPr>
      <w:r w:rsidRPr="006C6F82">
        <w:rPr>
          <w:rFonts w:ascii="inherit" w:eastAsia="Times New Roman" w:hAnsi="inherit" w:cs="Arial"/>
          <w:bCs/>
          <w:color w:val="343434"/>
          <w:sz w:val="24"/>
          <w:szCs w:val="24"/>
          <w:bdr w:val="none" w:sz="0" w:space="0" w:color="auto" w:frame="1"/>
        </w:rPr>
        <w:t>Direct link to the 2022-23 catalog</w:t>
      </w:r>
      <w:r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  <w:t xml:space="preserve"> </w:t>
      </w:r>
      <w:hyperlink r:id="rId10" w:anchor="gerequirementstext" w:history="1">
        <w:r w:rsidR="00C04652" w:rsidRPr="00EF348C">
          <w:rPr>
            <w:rStyle w:val="Hyperlink"/>
            <w:rFonts w:ascii="inherit" w:eastAsia="Times New Roman" w:hAnsi="inherit" w:cs="Arial"/>
            <w:b/>
            <w:bCs/>
            <w:sz w:val="24"/>
            <w:szCs w:val="24"/>
            <w:bdr w:val="none" w:sz="0" w:space="0" w:color="auto" w:frame="1"/>
          </w:rPr>
          <w:t>https://catalog.mtsac.edu/programs/degrees-certificates/#gerequirementstext</w:t>
        </w:r>
      </w:hyperlink>
    </w:p>
    <w:p w14:paraId="5009A7E5" w14:textId="77777777" w:rsidR="00C04652" w:rsidRDefault="00C04652" w:rsidP="00B639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</w:pPr>
    </w:p>
    <w:p w14:paraId="7AFE08AD" w14:textId="07C5BBFB" w:rsidR="006C6F82" w:rsidRPr="006C6F82" w:rsidRDefault="006C6F82" w:rsidP="00B639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color w:val="343434"/>
          <w:sz w:val="24"/>
          <w:szCs w:val="24"/>
          <w:bdr w:val="none" w:sz="0" w:space="0" w:color="auto" w:frame="1"/>
        </w:rPr>
      </w:pPr>
      <w:r w:rsidRPr="006C6F82">
        <w:rPr>
          <w:rFonts w:ascii="inherit" w:eastAsia="Times New Roman" w:hAnsi="inherit" w:cs="Arial"/>
          <w:bCs/>
          <w:color w:val="343434"/>
          <w:sz w:val="24"/>
          <w:szCs w:val="24"/>
          <w:bdr w:val="none" w:sz="0" w:space="0" w:color="auto" w:frame="1"/>
        </w:rPr>
        <w:t xml:space="preserve">New guidance language after Math 71 </w:t>
      </w:r>
      <w:proofErr w:type="gramStart"/>
      <w:r w:rsidRPr="006C6F82">
        <w:rPr>
          <w:rFonts w:ascii="inherit" w:eastAsia="Times New Roman" w:hAnsi="inherit" w:cs="Arial"/>
          <w:bCs/>
          <w:color w:val="343434"/>
          <w:sz w:val="24"/>
          <w:szCs w:val="24"/>
          <w:bdr w:val="none" w:sz="0" w:space="0" w:color="auto" w:frame="1"/>
        </w:rPr>
        <w:t>is not be</w:t>
      </w:r>
      <w:proofErr w:type="gramEnd"/>
      <w:r w:rsidRPr="006C6F82">
        <w:rPr>
          <w:rFonts w:ascii="inherit" w:eastAsia="Times New Roman" w:hAnsi="inherit" w:cs="Arial"/>
          <w:bCs/>
          <w:color w:val="343434"/>
          <w:sz w:val="24"/>
          <w:szCs w:val="24"/>
          <w:bdr w:val="none" w:sz="0" w:space="0" w:color="auto" w:frame="1"/>
        </w:rPr>
        <w:t xml:space="preserve"> offered any more:</w:t>
      </w:r>
    </w:p>
    <w:p w14:paraId="47C9523E" w14:textId="5564A50B" w:rsidR="006C6F82" w:rsidRDefault="006C6F82" w:rsidP="00B639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  <w:t>___________________________________________________________________________</w:t>
      </w:r>
    </w:p>
    <w:p w14:paraId="3C3AFB64" w14:textId="77777777" w:rsidR="006C6F82" w:rsidRDefault="006C6F82" w:rsidP="00B639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</w:pPr>
    </w:p>
    <w:p w14:paraId="1198231F" w14:textId="6E74340F" w:rsidR="00B639C3" w:rsidRDefault="00B639C3" w:rsidP="00B639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43434"/>
          <w:sz w:val="24"/>
          <w:szCs w:val="24"/>
        </w:rPr>
      </w:pPr>
      <w:r w:rsidRPr="00B639C3"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  <w:t>Math Competency:</w:t>
      </w:r>
      <w:r w:rsidRPr="00B639C3">
        <w:rPr>
          <w:rFonts w:ascii="Arial" w:eastAsia="Times New Roman" w:hAnsi="Arial" w:cs="Arial"/>
          <w:color w:val="343434"/>
          <w:sz w:val="24"/>
          <w:szCs w:val="24"/>
        </w:rPr>
        <w:t> This requirement is met by completing one of the following with a grade of “C” or better.</w:t>
      </w:r>
    </w:p>
    <w:p w14:paraId="148811EA" w14:textId="77777777" w:rsidR="00B639C3" w:rsidRPr="00B639C3" w:rsidRDefault="00B639C3" w:rsidP="00B639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43434"/>
          <w:sz w:val="24"/>
          <w:szCs w:val="24"/>
        </w:rPr>
      </w:pPr>
    </w:p>
    <w:p w14:paraId="4323F395" w14:textId="77777777" w:rsidR="00B639C3" w:rsidRPr="00B639C3" w:rsidRDefault="00D7549C" w:rsidP="00B639C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343434"/>
          <w:sz w:val="24"/>
          <w:szCs w:val="24"/>
        </w:rPr>
      </w:pPr>
      <w:hyperlink r:id="rId11" w:tooltip="MATH 71" w:history="1">
        <w:r w:rsidR="00B639C3" w:rsidRPr="00B639C3">
          <w:rPr>
            <w:rFonts w:ascii="Arial" w:eastAsia="Times New Roman" w:hAnsi="Arial" w:cs="Arial"/>
            <w:color w:val="3470B7"/>
            <w:sz w:val="24"/>
            <w:szCs w:val="24"/>
            <w:u w:val="single"/>
            <w:bdr w:val="none" w:sz="0" w:space="0" w:color="auto" w:frame="1"/>
          </w:rPr>
          <w:t>MATH 71</w:t>
        </w:r>
      </w:hyperlink>
      <w:r w:rsidR="00B639C3" w:rsidRPr="00B639C3">
        <w:rPr>
          <w:rFonts w:ascii="Arial" w:eastAsia="Times New Roman" w:hAnsi="Arial" w:cs="Arial"/>
          <w:color w:val="343434"/>
          <w:sz w:val="24"/>
          <w:szCs w:val="24"/>
        </w:rPr>
        <w:t> Intermediate Algebra</w:t>
      </w:r>
      <w:r w:rsidR="00B639C3" w:rsidRPr="00B639C3">
        <w:rPr>
          <w:rFonts w:ascii="Arial" w:eastAsia="Times New Roman" w:hAnsi="Arial" w:cs="Arial"/>
          <w:color w:val="FF0000"/>
          <w:sz w:val="24"/>
          <w:szCs w:val="24"/>
        </w:rPr>
        <w:t>*</w:t>
      </w:r>
      <w:r w:rsidR="00B639C3" w:rsidRPr="00B639C3">
        <w:rPr>
          <w:rFonts w:ascii="Arial" w:eastAsia="Times New Roman" w:hAnsi="Arial" w:cs="Arial"/>
          <w:color w:val="343434"/>
          <w:sz w:val="24"/>
          <w:szCs w:val="24"/>
        </w:rPr>
        <w:br/>
      </w:r>
      <w:r w:rsidR="00B639C3" w:rsidRPr="00B639C3"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  <w:t>or</w:t>
      </w:r>
      <w:r w:rsidR="00B639C3" w:rsidRPr="00B639C3">
        <w:rPr>
          <w:rFonts w:ascii="Arial" w:eastAsia="Times New Roman" w:hAnsi="Arial" w:cs="Arial"/>
          <w:color w:val="343434"/>
          <w:sz w:val="24"/>
          <w:szCs w:val="24"/>
        </w:rPr>
        <w:br/>
      </w:r>
      <w:hyperlink r:id="rId12" w:tooltip="MATH 71B" w:history="1">
        <w:r w:rsidR="00B639C3" w:rsidRPr="00B639C3">
          <w:rPr>
            <w:rFonts w:ascii="Arial" w:eastAsia="Times New Roman" w:hAnsi="Arial" w:cs="Arial"/>
            <w:color w:val="3470B7"/>
            <w:sz w:val="24"/>
            <w:szCs w:val="24"/>
            <w:u w:val="single"/>
            <w:bdr w:val="none" w:sz="0" w:space="0" w:color="auto" w:frame="1"/>
          </w:rPr>
          <w:t>MATH 71B</w:t>
        </w:r>
      </w:hyperlink>
      <w:r w:rsidR="00B639C3" w:rsidRPr="00B639C3">
        <w:rPr>
          <w:rFonts w:ascii="Arial" w:eastAsia="Times New Roman" w:hAnsi="Arial" w:cs="Arial"/>
          <w:color w:val="343434"/>
          <w:sz w:val="24"/>
          <w:szCs w:val="24"/>
        </w:rPr>
        <w:t> Intermediate Algebra - Second Half</w:t>
      </w:r>
      <w:r w:rsidR="00B639C3" w:rsidRPr="00B639C3">
        <w:rPr>
          <w:rFonts w:ascii="Arial" w:eastAsia="Times New Roman" w:hAnsi="Arial" w:cs="Arial"/>
          <w:color w:val="FF0000"/>
          <w:sz w:val="24"/>
          <w:szCs w:val="24"/>
        </w:rPr>
        <w:t>*</w:t>
      </w:r>
      <w:r w:rsidR="00B639C3" w:rsidRPr="00B639C3">
        <w:rPr>
          <w:rFonts w:ascii="Arial" w:eastAsia="Times New Roman" w:hAnsi="Arial" w:cs="Arial"/>
          <w:color w:val="343434"/>
          <w:sz w:val="24"/>
          <w:szCs w:val="24"/>
        </w:rPr>
        <w:br/>
      </w:r>
      <w:r w:rsidR="00B639C3" w:rsidRPr="00B639C3"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  <w:t>or</w:t>
      </w:r>
      <w:r w:rsidR="00B639C3" w:rsidRPr="00B639C3">
        <w:rPr>
          <w:rFonts w:ascii="Arial" w:eastAsia="Times New Roman" w:hAnsi="Arial" w:cs="Arial"/>
          <w:color w:val="343434"/>
          <w:sz w:val="24"/>
          <w:szCs w:val="24"/>
        </w:rPr>
        <w:br/>
      </w:r>
      <w:hyperlink r:id="rId13" w:tooltip="MATH 71X" w:history="1">
        <w:r w:rsidR="00B639C3" w:rsidRPr="00B639C3">
          <w:rPr>
            <w:rFonts w:ascii="Arial" w:eastAsia="Times New Roman" w:hAnsi="Arial" w:cs="Arial"/>
            <w:color w:val="3470B7"/>
            <w:sz w:val="24"/>
            <w:szCs w:val="24"/>
            <w:u w:val="single"/>
            <w:bdr w:val="none" w:sz="0" w:space="0" w:color="auto" w:frame="1"/>
          </w:rPr>
          <w:t>MATH 71X</w:t>
        </w:r>
      </w:hyperlink>
      <w:r w:rsidR="00B639C3" w:rsidRPr="00B639C3">
        <w:rPr>
          <w:rFonts w:ascii="Arial" w:eastAsia="Times New Roman" w:hAnsi="Arial" w:cs="Arial"/>
          <w:color w:val="343434"/>
          <w:sz w:val="24"/>
          <w:szCs w:val="24"/>
        </w:rPr>
        <w:t> Practical Intermediate Algebra</w:t>
      </w:r>
      <w:r w:rsidR="00B639C3" w:rsidRPr="00B639C3">
        <w:rPr>
          <w:rFonts w:ascii="Arial" w:eastAsia="Times New Roman" w:hAnsi="Arial" w:cs="Arial"/>
          <w:color w:val="FF0000"/>
          <w:sz w:val="24"/>
          <w:szCs w:val="24"/>
        </w:rPr>
        <w:t>*</w:t>
      </w:r>
      <w:r w:rsidR="00B639C3" w:rsidRPr="00B639C3">
        <w:rPr>
          <w:rFonts w:ascii="Arial" w:eastAsia="Times New Roman" w:hAnsi="Arial" w:cs="Arial"/>
          <w:color w:val="343434"/>
          <w:sz w:val="24"/>
          <w:szCs w:val="24"/>
        </w:rPr>
        <w:br/>
      </w:r>
      <w:r w:rsidR="00B639C3" w:rsidRPr="00B639C3"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  <w:t>or</w:t>
      </w:r>
    </w:p>
    <w:p w14:paraId="55447019" w14:textId="77777777" w:rsidR="00B639C3" w:rsidRPr="00B639C3" w:rsidRDefault="00B639C3" w:rsidP="00B639C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Arial" w:eastAsia="Times New Roman" w:hAnsi="Arial" w:cs="Arial"/>
          <w:color w:val="343434"/>
          <w:sz w:val="24"/>
          <w:szCs w:val="24"/>
        </w:rPr>
      </w:pPr>
      <w:r w:rsidRPr="00B639C3">
        <w:rPr>
          <w:rFonts w:ascii="Arial" w:eastAsia="Times New Roman" w:hAnsi="Arial" w:cs="Arial"/>
          <w:color w:val="343434"/>
          <w:sz w:val="24"/>
          <w:szCs w:val="24"/>
        </w:rPr>
        <w:t>Completing a more advanced c</w:t>
      </w:r>
      <w:r>
        <w:rPr>
          <w:rFonts w:ascii="Arial" w:eastAsia="Times New Roman" w:hAnsi="Arial" w:cs="Arial"/>
          <w:color w:val="343434"/>
          <w:sz w:val="24"/>
          <w:szCs w:val="24"/>
        </w:rPr>
        <w:t xml:space="preserve">ollege level mathematics course </w:t>
      </w:r>
      <w:r w:rsidRPr="00B639C3">
        <w:rPr>
          <w:rFonts w:ascii="Calibri" w:hAnsi="Calibri" w:cs="Calibri"/>
          <w:color w:val="FF0000"/>
          <w:sz w:val="28"/>
        </w:rPr>
        <w:t>(BUSC 17, MATH 100, MATH 110, MATH 120, MATH 130, MATH 140, MATH 150, MATH 160, MATH 180, PSYC 10, and SOC 23)</w:t>
      </w:r>
      <w:r w:rsidRPr="00B639C3">
        <w:rPr>
          <w:rFonts w:ascii="Arial" w:eastAsia="Times New Roman" w:hAnsi="Arial" w:cs="Arial"/>
          <w:color w:val="343434"/>
          <w:sz w:val="24"/>
          <w:szCs w:val="24"/>
        </w:rPr>
        <w:br/>
      </w:r>
      <w:r w:rsidRPr="00B639C3">
        <w:rPr>
          <w:rFonts w:ascii="inherit" w:eastAsia="Times New Roman" w:hAnsi="inherit" w:cs="Arial"/>
          <w:b/>
          <w:bCs/>
          <w:color w:val="343434"/>
          <w:sz w:val="24"/>
          <w:szCs w:val="24"/>
          <w:bdr w:val="none" w:sz="0" w:space="0" w:color="auto" w:frame="1"/>
        </w:rPr>
        <w:t>or</w:t>
      </w:r>
    </w:p>
    <w:p w14:paraId="3D8D482C" w14:textId="77777777" w:rsidR="00B639C3" w:rsidRPr="00B639C3" w:rsidRDefault="00B639C3" w:rsidP="00B639C3">
      <w:pPr>
        <w:numPr>
          <w:ilvl w:val="0"/>
          <w:numId w:val="1"/>
        </w:numPr>
        <w:shd w:val="clear" w:color="auto" w:fill="FFFFFF"/>
        <w:spacing w:after="120" w:line="240" w:lineRule="auto"/>
        <w:ind w:left="480"/>
        <w:textAlignment w:val="baseline"/>
        <w:rPr>
          <w:rFonts w:ascii="Arial" w:eastAsia="Times New Roman" w:hAnsi="Arial" w:cs="Arial"/>
          <w:color w:val="343434"/>
          <w:sz w:val="24"/>
          <w:szCs w:val="24"/>
          <w:highlight w:val="yellow"/>
        </w:rPr>
      </w:pPr>
      <w:r w:rsidRPr="00B639C3">
        <w:rPr>
          <w:rFonts w:ascii="Arial" w:eastAsia="Times New Roman" w:hAnsi="Arial" w:cs="Arial"/>
          <w:color w:val="343434"/>
          <w:sz w:val="24"/>
          <w:szCs w:val="24"/>
          <w:highlight w:val="yellow"/>
        </w:rPr>
        <w:t xml:space="preserve">Obtaining a satisfactory score on the Intermediate Algebra Competency </w:t>
      </w:r>
      <w:proofErr w:type="gramStart"/>
      <w:r w:rsidRPr="00B639C3">
        <w:rPr>
          <w:rFonts w:ascii="Arial" w:eastAsia="Times New Roman" w:hAnsi="Arial" w:cs="Arial"/>
          <w:color w:val="343434"/>
          <w:sz w:val="24"/>
          <w:szCs w:val="24"/>
          <w:highlight w:val="yellow"/>
        </w:rPr>
        <w:t>Examination.</w:t>
      </w:r>
      <w:r w:rsidRPr="00B639C3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*</w:t>
      </w:r>
      <w:proofErr w:type="gramEnd"/>
      <w:r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* [Meghan will double check with Jimmy: did it stop</w:t>
      </w:r>
      <w:r w:rsidR="004A3076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 xml:space="preserve"> or does this remain an option? What happens to students who have met this requirement by taking the competency examination? </w:t>
      </w:r>
    </w:p>
    <w:p w14:paraId="701698B2" w14:textId="77777777" w:rsidR="00F83E26" w:rsidRDefault="00F83E26"/>
    <w:p w14:paraId="2DECE744" w14:textId="5279156E" w:rsidR="00B639C3" w:rsidRPr="008A128B" w:rsidRDefault="00B639C3" w:rsidP="00B639C3">
      <w:pPr>
        <w:rPr>
          <w:color w:val="FF0000"/>
        </w:rPr>
      </w:pPr>
      <w:r w:rsidRPr="00B639C3">
        <w:rPr>
          <w:color w:val="FF0000"/>
        </w:rPr>
        <w:t>*</w:t>
      </w:r>
      <w:r w:rsidRPr="00B639C3">
        <w:rPr>
          <w:rFonts w:ascii="Calibri" w:hAnsi="Calibri" w:cs="Calibri"/>
          <w:color w:val="1F497D"/>
          <w:sz w:val="28"/>
        </w:rPr>
        <w:t>Math Competency:</w:t>
      </w:r>
      <w:r>
        <w:rPr>
          <w:rFonts w:ascii="Calibri" w:hAnsi="Calibri" w:cs="Calibri"/>
          <w:color w:val="1F497D"/>
          <w:sz w:val="28"/>
        </w:rPr>
        <w:t xml:space="preserve"> </w:t>
      </w:r>
      <w:r w:rsidRPr="00B639C3">
        <w:rPr>
          <w:rFonts w:ascii="Calibri" w:hAnsi="Calibri" w:cs="Calibri"/>
          <w:color w:val="1F497D"/>
          <w:sz w:val="28"/>
        </w:rPr>
        <w:t xml:space="preserve">In compliance with Assembly Bills 705 and 1705, which mandate that California Community Colleges </w:t>
      </w:r>
      <w:r w:rsidRPr="008A128B">
        <w:rPr>
          <w:rFonts w:ascii="Calibri" w:hAnsi="Calibri" w:cs="Calibri"/>
          <w:strike/>
          <w:color w:val="FF0000"/>
          <w:sz w:val="28"/>
        </w:rPr>
        <w:t>offer transfer-level math courses, the College will</w:t>
      </w:r>
      <w:r w:rsidRPr="008A128B">
        <w:rPr>
          <w:rFonts w:ascii="Calibri" w:hAnsi="Calibri" w:cs="Calibri"/>
          <w:color w:val="FF0000"/>
          <w:sz w:val="28"/>
        </w:rPr>
        <w:t xml:space="preserve"> </w:t>
      </w:r>
      <w:r w:rsidRPr="00B639C3">
        <w:rPr>
          <w:rFonts w:ascii="Calibri" w:hAnsi="Calibri" w:cs="Calibri"/>
          <w:color w:val="1F497D"/>
          <w:sz w:val="28"/>
        </w:rPr>
        <w:t xml:space="preserve">no longer offer Math 71 Intermediate Algebra, a pre-transfer-level math course. Students may choose from alternative </w:t>
      </w:r>
      <w:r w:rsidR="008A128B" w:rsidRPr="008A128B">
        <w:rPr>
          <w:rFonts w:ascii="Calibri" w:hAnsi="Calibri" w:cs="Calibri"/>
          <w:color w:val="FF0000"/>
          <w:sz w:val="28"/>
        </w:rPr>
        <w:t>transfer</w:t>
      </w:r>
      <w:r w:rsidR="008A128B">
        <w:rPr>
          <w:rFonts w:ascii="Calibri" w:hAnsi="Calibri" w:cs="Calibri"/>
          <w:color w:val="FF0000"/>
          <w:sz w:val="28"/>
        </w:rPr>
        <w:t>able math</w:t>
      </w:r>
      <w:r w:rsidR="008A128B">
        <w:rPr>
          <w:rFonts w:ascii="Calibri" w:hAnsi="Calibri" w:cs="Calibri"/>
          <w:color w:val="1F497D"/>
          <w:sz w:val="28"/>
        </w:rPr>
        <w:t xml:space="preserve"> </w:t>
      </w:r>
      <w:r w:rsidRPr="00B639C3">
        <w:rPr>
          <w:rFonts w:ascii="Calibri" w:hAnsi="Calibri" w:cs="Calibri"/>
          <w:color w:val="1F497D"/>
          <w:sz w:val="28"/>
        </w:rPr>
        <w:t>courses</w:t>
      </w:r>
      <w:r w:rsidR="008A128B">
        <w:rPr>
          <w:rFonts w:ascii="Calibri" w:hAnsi="Calibri" w:cs="Calibri"/>
          <w:color w:val="FF0000"/>
          <w:sz w:val="28"/>
        </w:rPr>
        <w:t xml:space="preserve"> </w:t>
      </w:r>
      <w:r w:rsidRPr="00B639C3">
        <w:rPr>
          <w:rFonts w:ascii="Calibri" w:hAnsi="Calibri" w:cs="Calibri"/>
          <w:color w:val="1F497D"/>
          <w:sz w:val="28"/>
        </w:rPr>
        <w:t xml:space="preserve">(BUSC 17, MATH 100, MATH 110, MATH 120, MATH 130, MATH 140, MATH 150, MATH 160, MATH 180, PSYC 10, and SOC 23) </w:t>
      </w:r>
      <w:r w:rsidRPr="00B639C3">
        <w:rPr>
          <w:rFonts w:ascii="Calibri" w:hAnsi="Calibri" w:cs="Calibri"/>
          <w:color w:val="FF0000"/>
          <w:sz w:val="28"/>
        </w:rPr>
        <w:t xml:space="preserve">that </w:t>
      </w:r>
      <w:r w:rsidRPr="00B639C3">
        <w:rPr>
          <w:rFonts w:ascii="Calibri" w:hAnsi="Calibri" w:cs="Calibri"/>
          <w:color w:val="1F497D"/>
          <w:sz w:val="28"/>
        </w:rPr>
        <w:t xml:space="preserve">will satisfy the </w:t>
      </w:r>
      <w:r w:rsidRPr="008A128B">
        <w:rPr>
          <w:rFonts w:ascii="Calibri" w:hAnsi="Calibri" w:cs="Calibri"/>
          <w:strike/>
          <w:color w:val="FF0000"/>
          <w:sz w:val="28"/>
        </w:rPr>
        <w:t>math</w:t>
      </w:r>
      <w:r w:rsidRPr="00B639C3">
        <w:rPr>
          <w:rFonts w:ascii="Calibri" w:hAnsi="Calibri" w:cs="Calibri"/>
          <w:color w:val="1F497D"/>
          <w:sz w:val="28"/>
        </w:rPr>
        <w:t xml:space="preserve"> </w:t>
      </w:r>
      <w:r w:rsidRPr="008A128B">
        <w:rPr>
          <w:rFonts w:ascii="Calibri" w:hAnsi="Calibri" w:cs="Calibri"/>
          <w:strike/>
          <w:color w:val="FF0000"/>
          <w:sz w:val="28"/>
        </w:rPr>
        <w:t>requirement for completing the</w:t>
      </w:r>
      <w:r w:rsidRPr="008A128B">
        <w:rPr>
          <w:rFonts w:ascii="Calibri" w:hAnsi="Calibri" w:cs="Calibri"/>
          <w:color w:val="FF0000"/>
          <w:sz w:val="28"/>
        </w:rPr>
        <w:t xml:space="preserve"> </w:t>
      </w:r>
      <w:r w:rsidRPr="00B639C3">
        <w:rPr>
          <w:rFonts w:ascii="Calibri" w:hAnsi="Calibri" w:cs="Calibri"/>
          <w:color w:val="1F497D"/>
          <w:sz w:val="28"/>
        </w:rPr>
        <w:t xml:space="preserve">MATH 71 </w:t>
      </w:r>
      <w:r w:rsidR="008A128B" w:rsidRPr="008A128B">
        <w:rPr>
          <w:rFonts w:ascii="Calibri" w:hAnsi="Calibri" w:cs="Calibri"/>
          <w:color w:val="FF0000"/>
          <w:sz w:val="28"/>
        </w:rPr>
        <w:t>Intermediate Algebra math competency</w:t>
      </w:r>
      <w:r w:rsidR="008A128B">
        <w:rPr>
          <w:rFonts w:ascii="Calibri" w:hAnsi="Calibri" w:cs="Calibri"/>
          <w:color w:val="1F497D"/>
          <w:sz w:val="28"/>
        </w:rPr>
        <w:t xml:space="preserve"> </w:t>
      </w:r>
      <w:r w:rsidRPr="00B639C3">
        <w:rPr>
          <w:rFonts w:ascii="Calibri" w:hAnsi="Calibri" w:cs="Calibri"/>
          <w:color w:val="1F497D"/>
          <w:sz w:val="28"/>
        </w:rPr>
        <w:t xml:space="preserve">requirement. </w:t>
      </w:r>
      <w:r w:rsidR="00D7549C" w:rsidRPr="00D7549C">
        <w:rPr>
          <w:rFonts w:ascii="Calibri" w:hAnsi="Calibri" w:cs="Calibri"/>
          <w:color w:val="1F4E79" w:themeColor="accent1" w:themeShade="80"/>
          <w:sz w:val="28"/>
        </w:rPr>
        <w:t>Students are encouraged to discuss their options with a counselor prior to registration</w:t>
      </w:r>
      <w:r w:rsidR="00D7549C" w:rsidRPr="00D7549C">
        <w:rPr>
          <w:rFonts w:ascii="Calibri" w:hAnsi="Calibri" w:cs="Calibri"/>
          <w:color w:val="1F4E79" w:themeColor="accent1" w:themeShade="80"/>
          <w:sz w:val="28"/>
        </w:rPr>
        <w:t>.</w:t>
      </w:r>
      <w:r w:rsidRPr="00D7549C">
        <w:rPr>
          <w:rFonts w:ascii="Calibri" w:hAnsi="Calibri" w:cs="Calibri"/>
          <w:strike/>
          <w:color w:val="1F4E79" w:themeColor="accent1" w:themeShade="80"/>
          <w:sz w:val="28"/>
        </w:rPr>
        <w:t xml:space="preserve"> </w:t>
      </w:r>
    </w:p>
    <w:p w14:paraId="7470E641" w14:textId="77777777" w:rsidR="00B639C3" w:rsidRDefault="00B639C3"/>
    <w:sectPr w:rsidR="00B639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7159" w14:textId="77777777" w:rsidR="004A3076" w:rsidRDefault="004A3076" w:rsidP="004A3076">
      <w:pPr>
        <w:spacing w:after="0" w:line="240" w:lineRule="auto"/>
      </w:pPr>
      <w:r>
        <w:separator/>
      </w:r>
    </w:p>
  </w:endnote>
  <w:endnote w:type="continuationSeparator" w:id="0">
    <w:p w14:paraId="3F3BD1E1" w14:textId="77777777" w:rsidR="004A3076" w:rsidRDefault="004A3076" w:rsidP="004A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73F5" w14:textId="77777777" w:rsidR="004A3076" w:rsidRDefault="004A3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A3D4" w14:textId="77777777" w:rsidR="004A3076" w:rsidRDefault="004A3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D3D4" w14:textId="77777777" w:rsidR="004A3076" w:rsidRDefault="004A3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9E490" w14:textId="77777777" w:rsidR="004A3076" w:rsidRDefault="004A3076" w:rsidP="004A3076">
      <w:pPr>
        <w:spacing w:after="0" w:line="240" w:lineRule="auto"/>
      </w:pPr>
      <w:r>
        <w:separator/>
      </w:r>
    </w:p>
  </w:footnote>
  <w:footnote w:type="continuationSeparator" w:id="0">
    <w:p w14:paraId="6392808C" w14:textId="77777777" w:rsidR="004A3076" w:rsidRDefault="004A3076" w:rsidP="004A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AEAE" w14:textId="77777777" w:rsidR="004A3076" w:rsidRDefault="004A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547902"/>
      <w:docPartObj>
        <w:docPartGallery w:val="Watermarks"/>
        <w:docPartUnique/>
      </w:docPartObj>
    </w:sdtPr>
    <w:sdtEndPr/>
    <w:sdtContent>
      <w:p w14:paraId="423737EB" w14:textId="77777777" w:rsidR="004A3076" w:rsidRDefault="00D7549C">
        <w:pPr>
          <w:pStyle w:val="Header"/>
        </w:pPr>
        <w:r>
          <w:rPr>
            <w:noProof/>
          </w:rPr>
          <w:pict w14:anchorId="63236C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F077" w14:textId="77777777" w:rsidR="004A3076" w:rsidRDefault="004A3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6439"/>
    <w:multiLevelType w:val="multilevel"/>
    <w:tmpl w:val="4306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C3"/>
    <w:rsid w:val="004A3076"/>
    <w:rsid w:val="0068604F"/>
    <w:rsid w:val="006C6F82"/>
    <w:rsid w:val="008A128B"/>
    <w:rsid w:val="00A978BD"/>
    <w:rsid w:val="00B639C3"/>
    <w:rsid w:val="00C04652"/>
    <w:rsid w:val="00CF63E2"/>
    <w:rsid w:val="00D7549C"/>
    <w:rsid w:val="00F8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7D7BB7"/>
  <w15:chartTrackingRefBased/>
  <w15:docId w15:val="{77895B72-346E-4B9A-847E-318DD868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39C3"/>
    <w:rPr>
      <w:b/>
      <w:bCs/>
    </w:rPr>
  </w:style>
  <w:style w:type="character" w:customStyle="1" w:styleId="sccourseinline">
    <w:name w:val="sc_courseinline"/>
    <w:basedOn w:val="DefaultParagraphFont"/>
    <w:rsid w:val="00B639C3"/>
  </w:style>
  <w:style w:type="character" w:styleId="Hyperlink">
    <w:name w:val="Hyperlink"/>
    <w:basedOn w:val="DefaultParagraphFont"/>
    <w:uiPriority w:val="99"/>
    <w:unhideWhenUsed/>
    <w:rsid w:val="00B639C3"/>
    <w:rPr>
      <w:color w:val="0000FF"/>
      <w:u w:val="single"/>
    </w:rPr>
  </w:style>
  <w:style w:type="paragraph" w:customStyle="1" w:styleId="xmsonormal">
    <w:name w:val="x_msonormal"/>
    <w:basedOn w:val="Normal"/>
    <w:rsid w:val="00B639C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B639C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3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76"/>
  </w:style>
  <w:style w:type="paragraph" w:styleId="Footer">
    <w:name w:val="footer"/>
    <w:basedOn w:val="Normal"/>
    <w:link w:val="FooterChar"/>
    <w:uiPriority w:val="99"/>
    <w:unhideWhenUsed/>
    <w:rsid w:val="004A3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1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talog.mtsac.edu/search/?P=MATH%2071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catalog.mtsac.edu/search/?P=MATH%2071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.mtsac.edu/search/?P=MATH%2071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catalog.mtsac.edu/programs/degrees-certificates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5" ma:contentTypeDescription="Create a new document." ma:contentTypeScope="" ma:versionID="fa8e7972dae743078025691155d1095f">
  <xsd:schema xmlns:xsd="http://www.w3.org/2001/XMLSchema" xmlns:xs="http://www.w3.org/2001/XMLSchema" xmlns:p="http://schemas.microsoft.com/office/2006/metadata/properties" xmlns:ns1="http://schemas.microsoft.com/sharepoint/v3" xmlns:ns3="ab473ce3-bbdb-490b-bf9f-407ba23df631" xmlns:ns4="7caac9a5-e9f0-4948-ba2b-9b40c951027f" targetNamespace="http://schemas.microsoft.com/office/2006/metadata/properties" ma:root="true" ma:fieldsID="e5380e1e52e19d74a180c2014e823cca" ns1:_="" ns3:_="" ns4:_="">
    <xsd:import namespace="http://schemas.microsoft.com/sharepoint/v3"/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F3E2B3-876E-4517-AB66-83DC94E23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8C81B6-C067-4FD2-BAD9-4F91B6373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25BBC-379C-4F22-B2FB-4C24BF374D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ab473ce3-bbdb-490b-bf9f-407ba23df631"/>
    <ds:schemaRef ds:uri="http://purl.org/dc/elements/1.1/"/>
    <ds:schemaRef ds:uri="http://schemas.microsoft.com/office/2006/metadata/properties"/>
    <ds:schemaRef ds:uri="7caac9a5-e9f0-4948-ba2b-9b40c951027f"/>
    <ds:schemaRef ds:uri="http://schemas.microsoft.com/sharepoint/v3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Meghan</dc:creator>
  <cp:keywords/>
  <dc:description/>
  <cp:lastModifiedBy>Fowler, Jamaika</cp:lastModifiedBy>
  <cp:revision>2</cp:revision>
  <dcterms:created xsi:type="dcterms:W3CDTF">2022-11-02T21:25:00Z</dcterms:created>
  <dcterms:modified xsi:type="dcterms:W3CDTF">2022-11-02T21:25:00Z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