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DA24CB">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7CD8F0FB"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2019-20</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1980"/>
        <w:gridCol w:w="360"/>
        <w:gridCol w:w="1620"/>
        <w:gridCol w:w="360"/>
        <w:gridCol w:w="1719"/>
      </w:tblGrid>
      <w:tr w:rsidR="00454507" w:rsidRPr="00F90E4E" w14:paraId="39BBB64C" w14:textId="77777777" w:rsidTr="0011687F">
        <w:trPr>
          <w:trHeight w:val="395"/>
          <w:jc w:val="center"/>
        </w:trPr>
        <w:tc>
          <w:tcPr>
            <w:tcW w:w="355" w:type="dxa"/>
            <w:vAlign w:val="center"/>
          </w:tcPr>
          <w:p w14:paraId="4185D932" w14:textId="289F8588"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r w:rsidR="00454507">
              <w:rPr>
                <w:rFonts w:ascii="Verdana" w:hAnsi="Verdana" w:cs="Arial"/>
                <w:b/>
                <w:bCs/>
                <w:sz w:val="16"/>
                <w:szCs w:val="16"/>
              </w:rPr>
              <w:t xml:space="preserve"> </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79FEC82F"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21752208" w14:textId="77777777" w:rsidR="00454507" w:rsidRPr="00F90E4E" w:rsidRDefault="00454507"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co-chair</w:t>
            </w:r>
          </w:p>
        </w:tc>
        <w:tc>
          <w:tcPr>
            <w:tcW w:w="360" w:type="dxa"/>
            <w:vAlign w:val="center"/>
          </w:tcPr>
          <w:p w14:paraId="25A7428F" w14:textId="047CDBBC"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980" w:type="dxa"/>
            <w:vAlign w:val="center"/>
          </w:tcPr>
          <w:p w14:paraId="1CB11D87" w14:textId="52FED375" w:rsidR="00454507" w:rsidRPr="00F90E4E" w:rsidRDefault="00B83B9C" w:rsidP="00B83B9C">
            <w:pPr>
              <w:rPr>
                <w:rFonts w:ascii="Verdana" w:hAnsi="Verdana" w:cs="Arial"/>
                <w:sz w:val="18"/>
                <w:szCs w:val="18"/>
              </w:rPr>
            </w:pPr>
            <w:r>
              <w:rPr>
                <w:rFonts w:ascii="Verdana" w:hAnsi="Verdana" w:cs="Arial"/>
                <w:sz w:val="18"/>
                <w:szCs w:val="18"/>
              </w:rPr>
              <w:t xml:space="preserve">Matthew Dawood </w:t>
            </w:r>
          </w:p>
        </w:tc>
        <w:tc>
          <w:tcPr>
            <w:tcW w:w="360" w:type="dxa"/>
            <w:vAlign w:val="center"/>
          </w:tcPr>
          <w:p w14:paraId="51C672A6" w14:textId="3D7991D5" w:rsidR="00454507" w:rsidRPr="00F90E4E" w:rsidRDefault="0011687F" w:rsidP="00454507">
            <w:pPr>
              <w:rPr>
                <w:rFonts w:ascii="Verdana" w:hAnsi="Verdana" w:cs="Arial"/>
                <w:b/>
                <w:bCs/>
                <w:sz w:val="16"/>
                <w:szCs w:val="16"/>
              </w:rPr>
            </w:pPr>
            <w:r>
              <w:rPr>
                <w:rFonts w:ascii="Verdana" w:hAnsi="Verdana" w:cs="Arial"/>
                <w:b/>
                <w:bCs/>
                <w:sz w:val="16"/>
                <w:szCs w:val="16"/>
              </w:rPr>
              <w:t>X</w:t>
            </w:r>
          </w:p>
        </w:tc>
        <w:tc>
          <w:tcPr>
            <w:tcW w:w="1620" w:type="dxa"/>
            <w:vAlign w:val="center"/>
          </w:tcPr>
          <w:p w14:paraId="45292365" w14:textId="77777777" w:rsidR="00454507" w:rsidRPr="00F90E4E" w:rsidRDefault="00454507" w:rsidP="004A56B2">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563FB268" w14:textId="39B23EC5"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77777777" w:rsidR="00454507" w:rsidRPr="00F90E4E" w:rsidRDefault="00454507" w:rsidP="004A56B2">
            <w:pPr>
              <w:rPr>
                <w:rFonts w:ascii="Verdana" w:hAnsi="Verdana" w:cs="Arial"/>
                <w:bCs/>
                <w:iCs/>
                <w:sz w:val="18"/>
                <w:szCs w:val="18"/>
              </w:rPr>
            </w:pPr>
            <w:r w:rsidRPr="00F90E4E">
              <w:rPr>
                <w:rFonts w:ascii="Verdana" w:hAnsi="Verdana" w:cs="Arial"/>
                <w:sz w:val="18"/>
                <w:szCs w:val="18"/>
              </w:rPr>
              <w:t>Edwin Estes</w:t>
            </w:r>
          </w:p>
        </w:tc>
      </w:tr>
      <w:tr w:rsidR="00454507" w:rsidRPr="00F90E4E" w14:paraId="0C51FE98" w14:textId="77777777" w:rsidTr="0011687F">
        <w:trPr>
          <w:trHeight w:val="467"/>
          <w:jc w:val="center"/>
        </w:trPr>
        <w:tc>
          <w:tcPr>
            <w:tcW w:w="355" w:type="dxa"/>
            <w:vAlign w:val="center"/>
          </w:tcPr>
          <w:p w14:paraId="714D4A36" w14:textId="0AD272FF"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3D24FA32" w14:textId="03ABC4D6" w:rsidR="00454507" w:rsidRPr="00F90E4E" w:rsidRDefault="00B67158" w:rsidP="00B83B9C">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3E529C80"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495ACE36" w14:textId="7FDC96C7" w:rsidR="00454507" w:rsidRPr="00F90E4E" w:rsidRDefault="00B67158" w:rsidP="00B83B9C">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BA5BDB7" w14:textId="4506603D"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980" w:type="dxa"/>
            <w:vAlign w:val="center"/>
          </w:tcPr>
          <w:p w14:paraId="606BF5FD" w14:textId="733335CC" w:rsidR="00454507" w:rsidRPr="00F90E4E" w:rsidRDefault="00B67158" w:rsidP="004A56B2">
            <w:pPr>
              <w:rPr>
                <w:rFonts w:ascii="Verdana" w:hAnsi="Verdana" w:cs="Arial"/>
                <w:sz w:val="18"/>
                <w:szCs w:val="18"/>
              </w:rPr>
            </w:pPr>
            <w:r>
              <w:rPr>
                <w:rFonts w:ascii="Verdana" w:hAnsi="Verdana" w:cs="Arial"/>
                <w:sz w:val="18"/>
                <w:szCs w:val="18"/>
              </w:rPr>
              <w:t>Catherine McKee</w:t>
            </w:r>
          </w:p>
        </w:tc>
        <w:tc>
          <w:tcPr>
            <w:tcW w:w="360" w:type="dxa"/>
            <w:vAlign w:val="center"/>
          </w:tcPr>
          <w:p w14:paraId="28C8C2F4" w14:textId="7BDC6960" w:rsidR="00454507"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620" w:type="dxa"/>
            <w:vAlign w:val="center"/>
          </w:tcPr>
          <w:p w14:paraId="38EBCE87" w14:textId="2ACD2559" w:rsidR="00454507" w:rsidRPr="00F90E4E" w:rsidRDefault="00B67158" w:rsidP="00B83B9C">
            <w:pPr>
              <w:rPr>
                <w:rFonts w:ascii="Verdana" w:hAnsi="Verdana" w:cs="Arial"/>
                <w:sz w:val="18"/>
                <w:szCs w:val="18"/>
              </w:rPr>
            </w:pPr>
            <w:r>
              <w:rPr>
                <w:rFonts w:ascii="Verdana" w:hAnsi="Verdana" w:cs="Arial"/>
                <w:sz w:val="18"/>
                <w:szCs w:val="18"/>
              </w:rPr>
              <w:t>Stacie Nakamatsu</w:t>
            </w:r>
          </w:p>
        </w:tc>
        <w:tc>
          <w:tcPr>
            <w:tcW w:w="360" w:type="dxa"/>
            <w:vAlign w:val="center"/>
          </w:tcPr>
          <w:p w14:paraId="495EDA3F" w14:textId="1BF171A2" w:rsidR="00454507" w:rsidRPr="00F90E4E" w:rsidRDefault="00454507" w:rsidP="004A56B2">
            <w:pPr>
              <w:jc w:val="center"/>
              <w:rPr>
                <w:rFonts w:ascii="Verdana" w:hAnsi="Verdana" w:cs="Arial"/>
                <w:b/>
                <w:bCs/>
                <w:sz w:val="16"/>
                <w:szCs w:val="16"/>
              </w:rPr>
            </w:pPr>
          </w:p>
        </w:tc>
        <w:tc>
          <w:tcPr>
            <w:tcW w:w="1719" w:type="dxa"/>
            <w:vAlign w:val="center"/>
          </w:tcPr>
          <w:p w14:paraId="56E78E7C" w14:textId="0B7E7903" w:rsidR="00454507" w:rsidRPr="00F90E4E" w:rsidRDefault="00B67158" w:rsidP="004A56B2">
            <w:pPr>
              <w:rPr>
                <w:rFonts w:ascii="Verdana" w:hAnsi="Verdana" w:cs="Arial"/>
                <w:sz w:val="18"/>
                <w:szCs w:val="18"/>
              </w:rPr>
            </w:pPr>
            <w:r>
              <w:rPr>
                <w:rFonts w:ascii="Verdana" w:hAnsi="Verdana" w:cs="Arial"/>
                <w:sz w:val="18"/>
                <w:szCs w:val="18"/>
              </w:rPr>
              <w:t>Michelle Newhart</w:t>
            </w:r>
          </w:p>
        </w:tc>
      </w:tr>
      <w:tr w:rsidR="00B83B9C" w:rsidRPr="00F90E4E" w14:paraId="0BF36796" w14:textId="77777777" w:rsidTr="0011687F">
        <w:trPr>
          <w:trHeight w:val="440"/>
          <w:jc w:val="center"/>
        </w:trPr>
        <w:tc>
          <w:tcPr>
            <w:tcW w:w="355" w:type="dxa"/>
            <w:vAlign w:val="center"/>
          </w:tcPr>
          <w:p w14:paraId="40A0D500" w14:textId="46926A24" w:rsidR="00B83B9C"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75183B49" w14:textId="6F0B3A05" w:rsidR="00B83B9C" w:rsidRPr="00F90E4E" w:rsidRDefault="00B67158" w:rsidP="004A56B2">
            <w:pPr>
              <w:rPr>
                <w:rFonts w:ascii="Verdana" w:hAnsi="Verdana" w:cs="Arial"/>
                <w:sz w:val="18"/>
                <w:szCs w:val="18"/>
              </w:rPr>
            </w:pPr>
            <w:r>
              <w:rPr>
                <w:rFonts w:ascii="Verdana"/>
                <w:sz w:val="18"/>
                <w:szCs w:val="18"/>
              </w:rPr>
              <w:t>Richard Patterson</w:t>
            </w:r>
          </w:p>
        </w:tc>
        <w:tc>
          <w:tcPr>
            <w:tcW w:w="360" w:type="dxa"/>
            <w:vAlign w:val="center"/>
          </w:tcPr>
          <w:p w14:paraId="3DA75B00" w14:textId="024AA3DC" w:rsidR="00B83B9C"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585AF606" w14:textId="7BAF6D74" w:rsidR="00B83B9C" w:rsidRPr="00F90E4E" w:rsidRDefault="00B67158" w:rsidP="004A56B2">
            <w:pPr>
              <w:rPr>
                <w:rFonts w:ascii="Verdana" w:hAnsi="Verdana" w:cs="Arial"/>
                <w:sz w:val="18"/>
                <w:szCs w:val="18"/>
              </w:rPr>
            </w:pPr>
            <w:r w:rsidRPr="00F90E4E">
              <w:rPr>
                <w:rFonts w:ascii="Verdana" w:hAnsi="Verdana" w:cs="Arial"/>
                <w:sz w:val="18"/>
                <w:szCs w:val="18"/>
              </w:rPr>
              <w:t>Jeanne-Marie Velickovic</w:t>
            </w:r>
          </w:p>
        </w:tc>
        <w:tc>
          <w:tcPr>
            <w:tcW w:w="360" w:type="dxa"/>
            <w:vAlign w:val="center"/>
          </w:tcPr>
          <w:p w14:paraId="349D3B04" w14:textId="20A6E3B0" w:rsidR="00B83B9C" w:rsidRPr="00F90E4E" w:rsidRDefault="0011687F" w:rsidP="004A56B2">
            <w:pPr>
              <w:jc w:val="center"/>
              <w:rPr>
                <w:rFonts w:ascii="Verdana" w:hAnsi="Verdana" w:cs="Arial"/>
                <w:b/>
                <w:bCs/>
                <w:sz w:val="16"/>
                <w:szCs w:val="16"/>
              </w:rPr>
            </w:pPr>
            <w:r>
              <w:rPr>
                <w:rFonts w:ascii="Verdana" w:hAnsi="Verdana" w:cs="Arial"/>
                <w:b/>
                <w:bCs/>
                <w:sz w:val="16"/>
                <w:szCs w:val="16"/>
              </w:rPr>
              <w:t>X</w:t>
            </w:r>
          </w:p>
        </w:tc>
        <w:tc>
          <w:tcPr>
            <w:tcW w:w="1980" w:type="dxa"/>
            <w:vAlign w:val="center"/>
          </w:tcPr>
          <w:p w14:paraId="0EEDE571" w14:textId="7A158C30" w:rsidR="00B83B9C" w:rsidRPr="00F90E4E" w:rsidRDefault="00B67158" w:rsidP="004A56B2">
            <w:pPr>
              <w:rPr>
                <w:rFonts w:ascii="Verdana" w:hAnsi="Verdana" w:cs="Arial"/>
                <w:sz w:val="18"/>
                <w:szCs w:val="18"/>
              </w:rPr>
            </w:pPr>
            <w:r>
              <w:rPr>
                <w:rFonts w:ascii="Verdana" w:hAnsi="Verdana" w:cs="Arial"/>
                <w:sz w:val="18"/>
                <w:szCs w:val="18"/>
              </w:rPr>
              <w:t>Sandra Weatherilt</w:t>
            </w:r>
          </w:p>
        </w:tc>
        <w:tc>
          <w:tcPr>
            <w:tcW w:w="360" w:type="dxa"/>
            <w:vAlign w:val="center"/>
          </w:tcPr>
          <w:p w14:paraId="5787E37C" w14:textId="1BE328DB" w:rsidR="00B83B9C" w:rsidRPr="00F90E4E" w:rsidRDefault="00B83B9C" w:rsidP="004A56B2">
            <w:pPr>
              <w:jc w:val="both"/>
              <w:rPr>
                <w:rFonts w:ascii="Verdana" w:hAnsi="Verdana" w:cs="Arial"/>
                <w:b/>
                <w:bCs/>
                <w:sz w:val="16"/>
                <w:szCs w:val="16"/>
              </w:rPr>
            </w:pPr>
          </w:p>
        </w:tc>
        <w:tc>
          <w:tcPr>
            <w:tcW w:w="1620" w:type="dxa"/>
            <w:vAlign w:val="center"/>
          </w:tcPr>
          <w:p w14:paraId="333DC3D7" w14:textId="5BB6422C" w:rsidR="00B83B9C" w:rsidRPr="00F90E4E" w:rsidRDefault="00B83B9C" w:rsidP="006D74D1">
            <w:pPr>
              <w:rPr>
                <w:rFonts w:ascii="Verdana" w:hAnsi="Verdana" w:cs="Arial"/>
                <w:sz w:val="18"/>
                <w:szCs w:val="18"/>
              </w:rPr>
            </w:pPr>
          </w:p>
        </w:tc>
        <w:tc>
          <w:tcPr>
            <w:tcW w:w="360" w:type="dxa"/>
            <w:vAlign w:val="center"/>
          </w:tcPr>
          <w:p w14:paraId="638EE426" w14:textId="77777777" w:rsidR="00B83B9C" w:rsidRPr="00F90E4E" w:rsidRDefault="00B83B9C" w:rsidP="006D74D1">
            <w:pPr>
              <w:rPr>
                <w:rFonts w:ascii="Verdana" w:hAnsi="Verdana" w:cs="Arial"/>
                <w:sz w:val="18"/>
                <w:szCs w:val="18"/>
              </w:rPr>
            </w:pPr>
          </w:p>
        </w:tc>
        <w:tc>
          <w:tcPr>
            <w:tcW w:w="1719" w:type="dxa"/>
            <w:vAlign w:val="center"/>
          </w:tcPr>
          <w:p w14:paraId="132EF82C" w14:textId="48EFF283" w:rsidR="00B83B9C" w:rsidRPr="00F90E4E" w:rsidRDefault="00B83B9C" w:rsidP="006D74D1">
            <w:pPr>
              <w:rPr>
                <w:rFonts w:ascii="Verdana" w:hAnsi="Verdana" w:cs="Arial"/>
                <w:sz w:val="18"/>
                <w:szCs w:val="18"/>
              </w:rPr>
            </w:pPr>
            <w:r>
              <w:rPr>
                <w:rFonts w:ascii="Verdana" w:hAnsi="Verdana" w:cs="Arial"/>
                <w:sz w:val="18"/>
                <w:szCs w:val="18"/>
              </w:rPr>
              <w:t>Student Rep</w:t>
            </w:r>
          </w:p>
        </w:tc>
      </w:tr>
    </w:tbl>
    <w:p w14:paraId="1B8E6A04" w14:textId="7ABA2607" w:rsidR="00454507"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722CEC2B" w:rsidR="00DA4C74" w:rsidRPr="00823B5D" w:rsidRDefault="00EE13A5" w:rsidP="00823B5D">
                            <w:pPr>
                              <w:pStyle w:val="Heading2"/>
                              <w:rPr>
                                <w:b/>
                                <w:color w:val="auto"/>
                                <w:sz w:val="28"/>
                                <w:szCs w:val="28"/>
                              </w:rPr>
                            </w:pPr>
                            <w:r w:rsidRPr="00823B5D">
                              <w:rPr>
                                <w:b/>
                                <w:color w:val="auto"/>
                                <w:sz w:val="28"/>
                                <w:szCs w:val="28"/>
                              </w:rPr>
                              <w:t>AGENDA</w:t>
                            </w:r>
                            <w:r w:rsidR="00DA4C74" w:rsidRPr="00823B5D">
                              <w:rPr>
                                <w:b/>
                                <w:color w:val="auto"/>
                                <w:sz w:val="28"/>
                                <w:szCs w:val="28"/>
                              </w:rPr>
                              <w:t xml:space="preserve"> – </w:t>
                            </w:r>
                            <w:r w:rsidR="00BA2C69">
                              <w:rPr>
                                <w:b/>
                                <w:color w:val="auto"/>
                                <w:sz w:val="28"/>
                                <w:szCs w:val="28"/>
                              </w:rPr>
                              <w:t>October 8</w:t>
                            </w:r>
                            <w:r w:rsidR="00CA5967" w:rsidRPr="00823B5D">
                              <w:rPr>
                                <w:b/>
                                <w:color w:val="auto"/>
                                <w:sz w:val="28"/>
                                <w:szCs w:val="28"/>
                              </w:rPr>
                              <w:t>, 2019</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" stroked="f">
                <v:textbox>
                  <w:txbxContent>
                    <w:p w14:paraId="2282AECE" w14:textId="722CEC2B" w:rsidR="00DA4C74" w:rsidRPr="00823B5D" w:rsidRDefault="00EE13A5" w:rsidP="00823B5D">
                      <w:pPr>
                        <w:pStyle w:val="Heading2"/>
                        <w:rPr>
                          <w:b/>
                          <w:color w:val="auto"/>
                          <w:sz w:val="28"/>
                          <w:szCs w:val="28"/>
                        </w:rPr>
                      </w:pPr>
                      <w:r w:rsidRPr="00823B5D">
                        <w:rPr>
                          <w:b/>
                          <w:color w:val="auto"/>
                          <w:sz w:val="28"/>
                          <w:szCs w:val="28"/>
                        </w:rPr>
                        <w:t>AGENDA</w:t>
                      </w:r>
                      <w:r w:rsidR="00DA4C74" w:rsidRPr="00823B5D">
                        <w:rPr>
                          <w:b/>
                          <w:color w:val="auto"/>
                          <w:sz w:val="28"/>
                          <w:szCs w:val="28"/>
                        </w:rPr>
                        <w:t xml:space="preserve"> – </w:t>
                      </w:r>
                      <w:r w:rsidR="00BA2C69">
                        <w:rPr>
                          <w:b/>
                          <w:color w:val="auto"/>
                          <w:sz w:val="28"/>
                          <w:szCs w:val="28"/>
                        </w:rPr>
                        <w:t>October 8</w:t>
                      </w:r>
                      <w:r w:rsidR="00CA5967" w:rsidRPr="00823B5D">
                        <w:rPr>
                          <w:b/>
                          <w:color w:val="auto"/>
                          <w:sz w:val="28"/>
                          <w:szCs w:val="28"/>
                        </w:rPr>
                        <w:t>, 2019</w:t>
                      </w:r>
                    </w:p>
                    <w:p w14:paraId="2A908E24" w14:textId="77777777" w:rsidR="00784AE4" w:rsidRPr="003B1195" w:rsidRDefault="00784AE4" w:rsidP="00784AE4">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930900">
        <w:rPr>
          <w:rFonts w:ascii="Arial Narrow" w:hAnsi="Arial Narrow" w:cs="Arial"/>
          <w:sz w:val="20"/>
          <w:szCs w:val="20"/>
        </w:rPr>
        <w:t xml:space="preserve"> Eva Figueroa</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00FA4891">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00FA4891">
        <w:tc>
          <w:tcPr>
            <w:tcW w:w="4135" w:type="dxa"/>
          </w:tcPr>
          <w:p w14:paraId="57A33DE2" w14:textId="672E5F39" w:rsidR="0080388A" w:rsidRDefault="00CF69E9" w:rsidP="00B5394D">
            <w:pPr>
              <w:rPr>
                <w:rFonts w:asciiTheme="minorHAnsi" w:hAnsiTheme="minorHAnsi"/>
              </w:rPr>
            </w:pPr>
            <w:r>
              <w:rPr>
                <w:rFonts w:asciiTheme="minorHAnsi" w:hAnsiTheme="minorHAnsi"/>
              </w:rPr>
              <w:t xml:space="preserve">Approval of DLC minutes:  </w:t>
            </w:r>
            <w:r w:rsidR="00BA2C69">
              <w:rPr>
                <w:rFonts w:asciiTheme="minorHAnsi" w:hAnsiTheme="minorHAnsi"/>
              </w:rPr>
              <w:t>9/24</w:t>
            </w:r>
            <w:r>
              <w:rPr>
                <w:rFonts w:asciiTheme="minorHAnsi" w:hAnsiTheme="minorHAnsi"/>
              </w:rPr>
              <w:t>/19</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26FD04AD" w:rsidR="0080388A" w:rsidRPr="00672500" w:rsidRDefault="0011687F">
            <w:pPr>
              <w:rPr>
                <w:rFonts w:asciiTheme="minorHAnsi" w:hAnsiTheme="minorHAnsi"/>
                <w:sz w:val="22"/>
                <w:szCs w:val="22"/>
              </w:rPr>
            </w:pPr>
            <w:r>
              <w:rPr>
                <w:rFonts w:asciiTheme="minorHAnsi" w:hAnsiTheme="minorHAnsi"/>
                <w:sz w:val="22"/>
                <w:szCs w:val="22"/>
              </w:rPr>
              <w:t>Approved with corrections</w:t>
            </w:r>
          </w:p>
        </w:tc>
      </w:tr>
      <w:tr w:rsidR="008C097E" w14:paraId="7AE25AC5" w14:textId="77777777" w:rsidTr="00FA4891">
        <w:tc>
          <w:tcPr>
            <w:tcW w:w="413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655" w:type="dxa"/>
            <w:shd w:val="clear" w:color="auto" w:fill="F2F2F2" w:themeFill="background1" w:themeFillShade="F2"/>
          </w:tcPr>
          <w:p w14:paraId="49DB3DE5" w14:textId="77777777" w:rsidR="008C097E" w:rsidRPr="00672500" w:rsidRDefault="008C097E">
            <w:pPr>
              <w:rPr>
                <w:rFonts w:asciiTheme="minorHAnsi" w:hAnsiTheme="minorHAnsi"/>
                <w:sz w:val="22"/>
                <w:szCs w:val="22"/>
              </w:rPr>
            </w:pPr>
          </w:p>
        </w:tc>
      </w:tr>
      <w:tr w:rsidR="008C097E" w14:paraId="59AB5201" w14:textId="77777777" w:rsidTr="00FA4891">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7B3D9907" w:rsidR="008374A9" w:rsidRPr="008374A9" w:rsidRDefault="008374A9" w:rsidP="00D948F4">
            <w:pPr>
              <w:rPr>
                <w:rFonts w:asciiTheme="minorHAnsi" w:hAnsiTheme="minorHAnsi"/>
                <w:sz w:val="22"/>
                <w:szCs w:val="22"/>
              </w:rPr>
            </w:pPr>
          </w:p>
        </w:tc>
      </w:tr>
      <w:tr w:rsidR="008C097E" w14:paraId="5DA74AED" w14:textId="77777777" w:rsidTr="00FA4891">
        <w:trPr>
          <w:trHeight w:val="683"/>
        </w:trPr>
        <w:tc>
          <w:tcPr>
            <w:tcW w:w="4135" w:type="dxa"/>
          </w:tcPr>
          <w:p w14:paraId="1C75D871" w14:textId="77777777" w:rsidR="008C097E" w:rsidRPr="00E81461" w:rsidRDefault="008C097E">
            <w:pPr>
              <w:rPr>
                <w:rFonts w:asciiTheme="minorHAnsi" w:hAnsiTheme="minorHAnsi"/>
              </w:rPr>
            </w:pPr>
            <w:r w:rsidRPr="00E81461">
              <w:rPr>
                <w:rFonts w:asciiTheme="minorHAnsi" w:hAnsiTheme="minorHAnsi" w:cs="Arial"/>
              </w:rPr>
              <w:t>Information Technology Advisory Committee (ITAC) Report (Rich)</w:t>
            </w:r>
          </w:p>
        </w:tc>
        <w:tc>
          <w:tcPr>
            <w:tcW w:w="6655" w:type="dxa"/>
          </w:tcPr>
          <w:p w14:paraId="3C71F8FB" w14:textId="5CBEFF94" w:rsidR="0011687F" w:rsidRPr="0011687F" w:rsidRDefault="0011687F" w:rsidP="00641A1D">
            <w:pPr>
              <w:pStyle w:val="NormalWeb"/>
              <w:spacing w:before="0" w:beforeAutospacing="0" w:after="0" w:afterAutospacing="0"/>
              <w:rPr>
                <w:rFonts w:asciiTheme="minorHAnsi" w:hAnsiTheme="minorHAnsi"/>
                <w:color w:val="000000"/>
                <w:sz w:val="22"/>
                <w:szCs w:val="22"/>
              </w:rPr>
            </w:pPr>
            <w:r w:rsidRPr="0011687F">
              <w:rPr>
                <w:rFonts w:asciiTheme="minorHAnsi" w:hAnsiTheme="minorHAnsi"/>
                <w:color w:val="000000"/>
                <w:sz w:val="22"/>
                <w:szCs w:val="22"/>
              </w:rPr>
              <w:t>Cloud Service Discussion. Dale explained that Microsoft will be changing their licensing of their software in the future, especially for Office 2019/365. Dale just wanted to alert us that changes are coming in June of 2020 and for us to be on the lookout for his correspondence of those changes as the year progresses.</w:t>
            </w:r>
          </w:p>
          <w:p w14:paraId="65A19227" w14:textId="7EDB3E2D" w:rsidR="00641A1D" w:rsidRDefault="0011687F" w:rsidP="00641A1D">
            <w:pPr>
              <w:rPr>
                <w:rFonts w:asciiTheme="minorHAnsi" w:hAnsiTheme="minorHAnsi"/>
                <w:color w:val="000000"/>
                <w:sz w:val="22"/>
                <w:szCs w:val="22"/>
              </w:rPr>
            </w:pPr>
            <w:r w:rsidRPr="0011687F">
              <w:rPr>
                <w:rFonts w:asciiTheme="minorHAnsi" w:hAnsiTheme="minorHAnsi"/>
                <w:color w:val="000000"/>
                <w:sz w:val="22"/>
                <w:szCs w:val="22"/>
              </w:rPr>
              <w:t>Elimination of Support for Flash and Java</w:t>
            </w:r>
            <w:r w:rsidR="00930900">
              <w:rPr>
                <w:rFonts w:asciiTheme="minorHAnsi" w:hAnsiTheme="minorHAnsi"/>
                <w:color w:val="000000"/>
                <w:sz w:val="22"/>
                <w:szCs w:val="22"/>
              </w:rPr>
              <w:t xml:space="preserve"> Plug-ins</w:t>
            </w:r>
            <w:r w:rsidRPr="0011687F">
              <w:rPr>
                <w:rFonts w:asciiTheme="minorHAnsi" w:hAnsiTheme="minorHAnsi"/>
                <w:color w:val="000000"/>
                <w:sz w:val="22"/>
                <w:szCs w:val="22"/>
              </w:rPr>
              <w:t>. Ron explained to the committee members that most major Browser software will eventually no</w:t>
            </w:r>
            <w:r w:rsidR="00930900">
              <w:rPr>
                <w:rFonts w:asciiTheme="minorHAnsi" w:hAnsiTheme="minorHAnsi"/>
                <w:color w:val="000000"/>
                <w:sz w:val="22"/>
                <w:szCs w:val="22"/>
              </w:rPr>
              <w:t>t</w:t>
            </w:r>
            <w:r w:rsidRPr="0011687F">
              <w:rPr>
                <w:rFonts w:asciiTheme="minorHAnsi" w:hAnsiTheme="minorHAnsi"/>
                <w:color w:val="000000"/>
                <w:sz w:val="22"/>
                <w:szCs w:val="22"/>
              </w:rPr>
              <w:t xml:space="preserve"> continue to support pages and si</w:t>
            </w:r>
            <w:r w:rsidR="00930900">
              <w:rPr>
                <w:rFonts w:asciiTheme="minorHAnsi" w:hAnsiTheme="minorHAnsi"/>
                <w:color w:val="000000"/>
                <w:sz w:val="22"/>
                <w:szCs w:val="22"/>
              </w:rPr>
              <w:t>tes that contain Flash and Java Plug-In</w:t>
            </w:r>
            <w:r w:rsidRPr="0011687F">
              <w:rPr>
                <w:rFonts w:asciiTheme="minorHAnsi" w:hAnsiTheme="minorHAnsi"/>
                <w:color w:val="000000"/>
                <w:sz w:val="22"/>
                <w:szCs w:val="22"/>
              </w:rPr>
              <w:t xml:space="preserve"> components because of security vulnerabilities. HTML5 will eventually </w:t>
            </w:r>
            <w:r>
              <w:rPr>
                <w:rFonts w:asciiTheme="minorHAnsi" w:hAnsiTheme="minorHAnsi"/>
                <w:color w:val="000000"/>
                <w:sz w:val="22"/>
                <w:szCs w:val="22"/>
              </w:rPr>
              <w:t>replace these two in the future.</w:t>
            </w:r>
          </w:p>
          <w:p w14:paraId="6FFD25FD" w14:textId="5A4008E1" w:rsidR="00641A1D" w:rsidRPr="0011687F" w:rsidRDefault="00641A1D" w:rsidP="00641A1D">
            <w:pPr>
              <w:rPr>
                <w:rFonts w:asciiTheme="minorHAnsi" w:hAnsiTheme="minorHAnsi"/>
                <w:color w:val="000000"/>
                <w:sz w:val="22"/>
                <w:szCs w:val="22"/>
              </w:rPr>
            </w:pPr>
            <w:r>
              <w:rPr>
                <w:rFonts w:asciiTheme="minorHAnsi" w:hAnsiTheme="minorHAnsi"/>
                <w:sz w:val="22"/>
                <w:szCs w:val="22"/>
                <w:highlight w:val="yellow"/>
              </w:rPr>
              <w:t>IIB</w:t>
            </w:r>
            <w:r w:rsidRPr="00546DB2">
              <w:rPr>
                <w:rFonts w:asciiTheme="minorHAnsi" w:hAnsiTheme="minorHAnsi"/>
                <w:sz w:val="22"/>
                <w:szCs w:val="22"/>
                <w:highlight w:val="yellow"/>
              </w:rPr>
              <w:t>, IIIC</w:t>
            </w:r>
          </w:p>
        </w:tc>
      </w:tr>
      <w:tr w:rsidR="008C097E" w14:paraId="046A696A" w14:textId="77777777" w:rsidTr="00FA4891">
        <w:tc>
          <w:tcPr>
            <w:tcW w:w="4135" w:type="dxa"/>
          </w:tcPr>
          <w:p w14:paraId="75F25537" w14:textId="4EC58C93" w:rsidR="008C097E" w:rsidRPr="00E81461" w:rsidRDefault="008C097E" w:rsidP="00230CDC">
            <w:pPr>
              <w:tabs>
                <w:tab w:val="left" w:pos="3435"/>
              </w:tabs>
              <w:rPr>
                <w:rFonts w:asciiTheme="minorHAnsi" w:hAnsiTheme="minorHAnsi"/>
              </w:rPr>
            </w:pPr>
            <w:r w:rsidRPr="00E81461">
              <w:rPr>
                <w:rFonts w:asciiTheme="minorHAnsi" w:hAnsiTheme="minorHAnsi" w:cs="Arial"/>
              </w:rPr>
              <w:t xml:space="preserve">Faculty </w:t>
            </w:r>
            <w:r w:rsidR="00230CDC">
              <w:rPr>
                <w:rFonts w:asciiTheme="minorHAnsi" w:hAnsiTheme="minorHAnsi" w:cs="Arial"/>
              </w:rPr>
              <w:t>Learning Activities</w:t>
            </w:r>
            <w:r w:rsidRPr="00E81461">
              <w:rPr>
                <w:rFonts w:asciiTheme="minorHAnsi" w:hAnsiTheme="minorHAnsi" w:cs="Arial"/>
              </w:rPr>
              <w:t xml:space="preserve"> Committee (F</w:t>
            </w:r>
            <w:r w:rsidR="00230CDC">
              <w:rPr>
                <w:rFonts w:asciiTheme="minorHAnsi" w:hAnsiTheme="minorHAnsi" w:cs="Arial"/>
              </w:rPr>
              <w:t>LA</w:t>
            </w:r>
            <w:r w:rsidRPr="00E81461">
              <w:rPr>
                <w:rFonts w:asciiTheme="minorHAnsi" w:hAnsiTheme="minorHAnsi" w:cs="Arial"/>
              </w:rPr>
              <w:t xml:space="preserve">C) Report </w:t>
            </w:r>
            <w:r w:rsidR="00E81461" w:rsidRPr="00E81461">
              <w:rPr>
                <w:rFonts w:asciiTheme="minorHAnsi" w:hAnsiTheme="minorHAnsi" w:cs="Arial"/>
              </w:rPr>
              <w:t>(</w:t>
            </w:r>
            <w:r w:rsidR="00230CDC">
              <w:rPr>
                <w:rFonts w:asciiTheme="minorHAnsi" w:hAnsiTheme="minorHAnsi" w:cs="Arial"/>
              </w:rPr>
              <w:t>Catherine</w:t>
            </w:r>
            <w:r w:rsidR="00E81461" w:rsidRPr="00E81461">
              <w:rPr>
                <w:rFonts w:asciiTheme="minorHAnsi" w:hAnsiTheme="minorHAnsi" w:cs="Arial"/>
              </w:rPr>
              <w:t>)</w:t>
            </w:r>
          </w:p>
        </w:tc>
        <w:tc>
          <w:tcPr>
            <w:tcW w:w="6655" w:type="dxa"/>
          </w:tcPr>
          <w:p w14:paraId="6CBC0721" w14:textId="1E4EBFC8" w:rsidR="004076A4" w:rsidRPr="00672500" w:rsidRDefault="0011687F" w:rsidP="004C08A0">
            <w:pPr>
              <w:rPr>
                <w:rFonts w:asciiTheme="minorHAnsi" w:hAnsiTheme="minorHAnsi"/>
                <w:sz w:val="22"/>
                <w:szCs w:val="22"/>
              </w:rPr>
            </w:pPr>
            <w:r>
              <w:rPr>
                <w:rFonts w:asciiTheme="minorHAnsi" w:hAnsiTheme="minorHAnsi"/>
                <w:sz w:val="22"/>
                <w:szCs w:val="22"/>
              </w:rPr>
              <w:t>No meeting</w:t>
            </w:r>
          </w:p>
        </w:tc>
      </w:tr>
      <w:tr w:rsidR="00922473" w14:paraId="2106A9EC" w14:textId="77777777" w:rsidTr="00FA4891">
        <w:trPr>
          <w:trHeight w:val="305"/>
        </w:trPr>
        <w:tc>
          <w:tcPr>
            <w:tcW w:w="4135" w:type="dxa"/>
          </w:tcPr>
          <w:p w14:paraId="015AB4B2" w14:textId="77777777" w:rsidR="00922473" w:rsidRPr="00E81461" w:rsidRDefault="00922473" w:rsidP="00922473">
            <w:pPr>
              <w:rPr>
                <w:rFonts w:asciiTheme="minorHAnsi" w:hAnsiTheme="minorHAnsi" w:cs="Arial"/>
              </w:rPr>
            </w:pPr>
            <w:r>
              <w:rPr>
                <w:rFonts w:asciiTheme="minorHAnsi" w:hAnsiTheme="minorHAnsi" w:cs="Arial"/>
              </w:rPr>
              <w:t>Faculty Center for Learning Technology (FCLT) Report (Michelle)</w:t>
            </w:r>
          </w:p>
        </w:tc>
        <w:tc>
          <w:tcPr>
            <w:tcW w:w="6655" w:type="dxa"/>
          </w:tcPr>
          <w:p w14:paraId="67C0322C" w14:textId="77777777" w:rsidR="0011687F" w:rsidRDefault="0011687F" w:rsidP="0011687F">
            <w:pPr>
              <w:rPr>
                <w:rFonts w:asciiTheme="minorHAnsi" w:hAnsiTheme="minorHAnsi"/>
                <w:sz w:val="22"/>
                <w:szCs w:val="22"/>
              </w:rPr>
            </w:pPr>
            <w:r>
              <w:rPr>
                <w:rFonts w:asciiTheme="minorHAnsi" w:hAnsiTheme="minorHAnsi"/>
                <w:sz w:val="22"/>
                <w:szCs w:val="22"/>
              </w:rPr>
              <w:t>Access-a-Thon scheduled October 16, 17</w:t>
            </w:r>
          </w:p>
          <w:p w14:paraId="5351BBF7" w14:textId="2E5F1FA3" w:rsidR="0011687F" w:rsidRDefault="0011687F" w:rsidP="0011687F">
            <w:pPr>
              <w:rPr>
                <w:rFonts w:asciiTheme="minorHAnsi" w:hAnsiTheme="minorHAnsi"/>
                <w:sz w:val="22"/>
                <w:szCs w:val="22"/>
              </w:rPr>
            </w:pPr>
            <w:proofErr w:type="spellStart"/>
            <w:r>
              <w:rPr>
                <w:rFonts w:asciiTheme="minorHAnsi" w:hAnsiTheme="minorHAnsi"/>
                <w:sz w:val="22"/>
                <w:szCs w:val="22"/>
              </w:rPr>
              <w:t>CanInnovate</w:t>
            </w:r>
            <w:proofErr w:type="spellEnd"/>
            <w:r>
              <w:rPr>
                <w:rFonts w:asciiTheme="minorHAnsi" w:hAnsiTheme="minorHAnsi"/>
                <w:sz w:val="22"/>
                <w:szCs w:val="22"/>
              </w:rPr>
              <w:t xml:space="preserve"> October 25 – agenda out now!</w:t>
            </w:r>
          </w:p>
          <w:p w14:paraId="0FD2B216" w14:textId="5F511C58" w:rsidR="000A2600" w:rsidRPr="00672500" w:rsidRDefault="00641A1D" w:rsidP="00177810">
            <w:pPr>
              <w:rPr>
                <w:rFonts w:asciiTheme="minorHAnsi" w:hAnsiTheme="minorHAnsi"/>
                <w:sz w:val="22"/>
                <w:szCs w:val="22"/>
              </w:rPr>
            </w:pPr>
            <w:r w:rsidRPr="00546DB2">
              <w:rPr>
                <w:rFonts w:asciiTheme="minorHAnsi" w:hAnsiTheme="minorHAnsi"/>
                <w:sz w:val="22"/>
                <w:szCs w:val="22"/>
                <w:highlight w:val="yellow"/>
              </w:rPr>
              <w:t>IIA, IIIC</w:t>
            </w:r>
          </w:p>
        </w:tc>
      </w:tr>
      <w:tr w:rsidR="00FC4E3D" w14:paraId="461BA362" w14:textId="77777777" w:rsidTr="00FA4891">
        <w:trPr>
          <w:trHeight w:val="305"/>
        </w:trPr>
        <w:tc>
          <w:tcPr>
            <w:tcW w:w="4135" w:type="dxa"/>
          </w:tcPr>
          <w:p w14:paraId="127E5616" w14:textId="3B6B3644" w:rsidR="00FC4E3D" w:rsidRPr="00E81461" w:rsidRDefault="00FC4E3D" w:rsidP="00CF69E9">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501F48FA" w:rsidR="00FC4E3D" w:rsidRPr="00672500" w:rsidRDefault="00930900">
            <w:pPr>
              <w:rPr>
                <w:rFonts w:asciiTheme="minorHAnsi" w:hAnsiTheme="minorHAnsi"/>
                <w:sz w:val="22"/>
                <w:szCs w:val="22"/>
              </w:rPr>
            </w:pPr>
            <w:r>
              <w:rPr>
                <w:rFonts w:asciiTheme="minorHAnsi" w:hAnsiTheme="minorHAnsi"/>
                <w:sz w:val="22"/>
                <w:szCs w:val="22"/>
              </w:rPr>
              <w:t>No student rep yet</w:t>
            </w:r>
            <w:bookmarkStart w:id="0" w:name="_GoBack"/>
            <w:bookmarkEnd w:id="0"/>
          </w:p>
        </w:tc>
      </w:tr>
      <w:tr w:rsidR="008C097E" w14:paraId="2115F190" w14:textId="77777777" w:rsidTr="00FA4891">
        <w:tc>
          <w:tcPr>
            <w:tcW w:w="4135" w:type="dxa"/>
            <w:shd w:val="clear" w:color="auto" w:fill="D9D9D9" w:themeFill="background1" w:themeFillShade="D9"/>
          </w:tcPr>
          <w:p w14:paraId="2861ADAE" w14:textId="17CDDAE7" w:rsidR="008C097E" w:rsidRPr="00E81461" w:rsidRDefault="00B1755C">
            <w:pPr>
              <w:rPr>
                <w:rFonts w:asciiTheme="minorHAnsi" w:hAnsiTheme="minorHAnsi"/>
                <w:b/>
              </w:rPr>
            </w:pPr>
            <w:r>
              <w:rPr>
                <w:rFonts w:asciiTheme="minorHAnsi" w:hAnsiTheme="minorHAnsi"/>
                <w:b/>
              </w:rPr>
              <w:lastRenderedPageBreak/>
              <w:t>DL Amendment</w:t>
            </w:r>
            <w:r w:rsidR="008C097E"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C097E" w:rsidRPr="00672500" w:rsidRDefault="008C097E">
            <w:pPr>
              <w:rPr>
                <w:rFonts w:asciiTheme="minorHAnsi" w:hAnsiTheme="minorHAnsi"/>
                <w:sz w:val="22"/>
                <w:szCs w:val="22"/>
              </w:rPr>
            </w:pPr>
          </w:p>
        </w:tc>
      </w:tr>
      <w:tr w:rsidR="008C097E" w14:paraId="4BCAA1A9" w14:textId="77777777" w:rsidTr="00FA4891">
        <w:tc>
          <w:tcPr>
            <w:tcW w:w="4135" w:type="dxa"/>
          </w:tcPr>
          <w:p w14:paraId="19606FF5" w14:textId="49B7A95C" w:rsidR="00C705D2" w:rsidRPr="0011687F" w:rsidRDefault="00BA2C69" w:rsidP="007F5211">
            <w:pPr>
              <w:rPr>
                <w:rFonts w:asciiTheme="minorHAnsi" w:hAnsiTheme="minorHAnsi"/>
                <w:sz w:val="22"/>
                <w:szCs w:val="22"/>
              </w:rPr>
            </w:pPr>
            <w:r w:rsidRPr="0011687F">
              <w:rPr>
                <w:rFonts w:asciiTheme="minorHAnsi" w:hAnsiTheme="minorHAnsi"/>
                <w:sz w:val="22"/>
                <w:szCs w:val="22"/>
              </w:rPr>
              <w:t xml:space="preserve">ARCH 250 </w:t>
            </w:r>
          </w:p>
          <w:p w14:paraId="25E8F9A7" w14:textId="19CBE8C4" w:rsidR="00A926A1" w:rsidRPr="0011687F" w:rsidRDefault="00A926A1" w:rsidP="007F5211">
            <w:pPr>
              <w:rPr>
                <w:rFonts w:asciiTheme="minorHAnsi" w:hAnsiTheme="minorHAnsi"/>
                <w:sz w:val="22"/>
                <w:szCs w:val="22"/>
              </w:rPr>
            </w:pPr>
            <w:r w:rsidRPr="0011687F">
              <w:rPr>
                <w:rFonts w:asciiTheme="minorHAnsi" w:hAnsiTheme="minorHAnsi"/>
                <w:sz w:val="22"/>
                <w:szCs w:val="22"/>
              </w:rPr>
              <w:t>ARCH 280</w:t>
            </w:r>
          </w:p>
          <w:p w14:paraId="3EAD634C" w14:textId="6A2F14D4" w:rsidR="00A926A1" w:rsidRPr="0011687F" w:rsidRDefault="00A926A1" w:rsidP="007F5211">
            <w:pPr>
              <w:rPr>
                <w:rFonts w:asciiTheme="minorHAnsi" w:hAnsiTheme="minorHAnsi"/>
                <w:sz w:val="22"/>
                <w:szCs w:val="22"/>
              </w:rPr>
            </w:pPr>
            <w:r w:rsidRPr="0011687F">
              <w:rPr>
                <w:rFonts w:asciiTheme="minorHAnsi" w:hAnsiTheme="minorHAnsi"/>
                <w:sz w:val="22"/>
                <w:szCs w:val="22"/>
              </w:rPr>
              <w:t>BUSS 36</w:t>
            </w:r>
          </w:p>
          <w:p w14:paraId="67A6C4EF" w14:textId="6932BBAD" w:rsidR="00BA2C69" w:rsidRPr="0011687F" w:rsidRDefault="00BA2C69" w:rsidP="007F5211">
            <w:pPr>
              <w:rPr>
                <w:rFonts w:asciiTheme="minorHAnsi" w:hAnsiTheme="minorHAnsi"/>
                <w:sz w:val="22"/>
                <w:szCs w:val="22"/>
              </w:rPr>
            </w:pPr>
            <w:r w:rsidRPr="0011687F">
              <w:rPr>
                <w:rFonts w:asciiTheme="minorHAnsi" w:hAnsiTheme="minorHAnsi"/>
                <w:sz w:val="22"/>
                <w:szCs w:val="22"/>
              </w:rPr>
              <w:t>READ 90</w:t>
            </w:r>
          </w:p>
          <w:p w14:paraId="76CB96E9" w14:textId="25AF2C81" w:rsidR="00BA2C69" w:rsidRPr="0011687F" w:rsidRDefault="00BA2C69" w:rsidP="007F5211">
            <w:pPr>
              <w:rPr>
                <w:rFonts w:asciiTheme="minorHAnsi" w:hAnsiTheme="minorHAnsi"/>
                <w:sz w:val="22"/>
                <w:szCs w:val="22"/>
              </w:rPr>
            </w:pPr>
            <w:r w:rsidRPr="0011687F">
              <w:rPr>
                <w:rFonts w:asciiTheme="minorHAnsi" w:hAnsiTheme="minorHAnsi"/>
                <w:sz w:val="22"/>
                <w:szCs w:val="22"/>
              </w:rPr>
              <w:t>SOC 5 (4 year review)</w:t>
            </w:r>
          </w:p>
          <w:p w14:paraId="032789A0" w14:textId="55C3E8FA" w:rsidR="00BA2C69" w:rsidRPr="008019A3" w:rsidRDefault="00BA2C69" w:rsidP="00BA2C69">
            <w:pPr>
              <w:rPr>
                <w:rFonts w:asciiTheme="minorHAnsi" w:hAnsiTheme="minorHAnsi"/>
              </w:rPr>
            </w:pPr>
            <w:r w:rsidRPr="0011687F">
              <w:rPr>
                <w:rFonts w:asciiTheme="minorHAnsi" w:hAnsiTheme="minorHAnsi"/>
                <w:sz w:val="22"/>
                <w:szCs w:val="22"/>
              </w:rPr>
              <w:t>SPCH 2 (resubmitted)</w:t>
            </w:r>
          </w:p>
        </w:tc>
        <w:tc>
          <w:tcPr>
            <w:tcW w:w="6655" w:type="dxa"/>
          </w:tcPr>
          <w:p w14:paraId="2460AD0C" w14:textId="77777777" w:rsidR="00E55C72" w:rsidRDefault="0011687F" w:rsidP="000E7875">
            <w:pPr>
              <w:pStyle w:val="ListParagraph"/>
              <w:ind w:left="0"/>
              <w:rPr>
                <w:rFonts w:asciiTheme="minorHAnsi" w:hAnsiTheme="minorHAnsi"/>
                <w:sz w:val="22"/>
                <w:szCs w:val="22"/>
              </w:rPr>
            </w:pPr>
            <w:r>
              <w:rPr>
                <w:rFonts w:asciiTheme="minorHAnsi" w:hAnsiTheme="minorHAnsi"/>
                <w:sz w:val="22"/>
                <w:szCs w:val="22"/>
              </w:rPr>
              <w:t>Approved</w:t>
            </w:r>
          </w:p>
          <w:p w14:paraId="0BE32180" w14:textId="77777777" w:rsidR="0011687F" w:rsidRDefault="0011687F" w:rsidP="000E7875">
            <w:pPr>
              <w:pStyle w:val="ListParagraph"/>
              <w:ind w:left="0"/>
              <w:rPr>
                <w:rFonts w:asciiTheme="minorHAnsi" w:hAnsiTheme="minorHAnsi"/>
                <w:sz w:val="22"/>
                <w:szCs w:val="22"/>
              </w:rPr>
            </w:pPr>
            <w:r>
              <w:rPr>
                <w:rFonts w:asciiTheme="minorHAnsi" w:hAnsiTheme="minorHAnsi"/>
                <w:sz w:val="22"/>
                <w:szCs w:val="22"/>
              </w:rPr>
              <w:t xml:space="preserve">Approved </w:t>
            </w:r>
          </w:p>
          <w:p w14:paraId="58150981" w14:textId="29322E5B" w:rsidR="0011687F" w:rsidRDefault="0011687F" w:rsidP="000E7875">
            <w:pPr>
              <w:pStyle w:val="ListParagraph"/>
              <w:ind w:left="0"/>
              <w:rPr>
                <w:rFonts w:asciiTheme="minorHAnsi" w:hAnsiTheme="minorHAnsi"/>
                <w:sz w:val="22"/>
                <w:szCs w:val="22"/>
              </w:rPr>
            </w:pPr>
            <w:r>
              <w:rPr>
                <w:rFonts w:asciiTheme="minorHAnsi" w:hAnsiTheme="minorHAnsi"/>
                <w:sz w:val="22"/>
                <w:szCs w:val="22"/>
              </w:rPr>
              <w:t>Contact professor to amend hours, then approved</w:t>
            </w:r>
          </w:p>
          <w:p w14:paraId="68B98A54" w14:textId="77777777" w:rsidR="0011687F" w:rsidRDefault="0011687F" w:rsidP="000E7875">
            <w:pPr>
              <w:pStyle w:val="ListParagraph"/>
              <w:ind w:left="0"/>
              <w:rPr>
                <w:rFonts w:asciiTheme="minorHAnsi" w:hAnsiTheme="minorHAnsi"/>
                <w:sz w:val="22"/>
                <w:szCs w:val="22"/>
              </w:rPr>
            </w:pPr>
            <w:r>
              <w:rPr>
                <w:rFonts w:asciiTheme="minorHAnsi" w:hAnsiTheme="minorHAnsi"/>
                <w:sz w:val="22"/>
                <w:szCs w:val="22"/>
              </w:rPr>
              <w:t>Approved</w:t>
            </w:r>
          </w:p>
          <w:p w14:paraId="637CCDEB" w14:textId="6C1480E9" w:rsidR="0011687F" w:rsidRDefault="0011687F" w:rsidP="000E7875">
            <w:pPr>
              <w:pStyle w:val="ListParagraph"/>
              <w:ind w:left="0"/>
              <w:rPr>
                <w:rFonts w:asciiTheme="minorHAnsi" w:hAnsiTheme="minorHAnsi"/>
                <w:sz w:val="22"/>
                <w:szCs w:val="22"/>
              </w:rPr>
            </w:pPr>
            <w:r>
              <w:rPr>
                <w:rFonts w:asciiTheme="minorHAnsi" w:hAnsiTheme="minorHAnsi"/>
                <w:sz w:val="22"/>
                <w:szCs w:val="22"/>
              </w:rPr>
              <w:t>Approved with minor correction</w:t>
            </w:r>
          </w:p>
          <w:p w14:paraId="564B56DE" w14:textId="77777777" w:rsidR="0011687F" w:rsidRDefault="0011687F" w:rsidP="000E7875">
            <w:pPr>
              <w:pStyle w:val="ListParagraph"/>
              <w:ind w:left="0"/>
              <w:rPr>
                <w:rFonts w:asciiTheme="minorHAnsi" w:hAnsiTheme="minorHAnsi"/>
                <w:sz w:val="22"/>
                <w:szCs w:val="22"/>
              </w:rPr>
            </w:pPr>
            <w:r>
              <w:rPr>
                <w:rFonts w:asciiTheme="minorHAnsi" w:hAnsiTheme="minorHAnsi"/>
                <w:sz w:val="22"/>
                <w:szCs w:val="22"/>
              </w:rPr>
              <w:t>Approved</w:t>
            </w:r>
          </w:p>
          <w:p w14:paraId="46EEA206" w14:textId="520F1A5B" w:rsidR="00641A1D" w:rsidRPr="00672500" w:rsidRDefault="00641A1D" w:rsidP="000E7875">
            <w:pPr>
              <w:pStyle w:val="ListParagraph"/>
              <w:ind w:left="0"/>
              <w:rPr>
                <w:rFonts w:asciiTheme="minorHAnsi" w:hAnsiTheme="minorHAnsi"/>
                <w:sz w:val="22"/>
                <w:szCs w:val="22"/>
              </w:rPr>
            </w:pPr>
            <w:r w:rsidRPr="00D96454">
              <w:rPr>
                <w:rFonts w:asciiTheme="minorHAnsi" w:hAnsiTheme="minorHAnsi"/>
                <w:sz w:val="22"/>
                <w:szCs w:val="22"/>
                <w:highlight w:val="yellow"/>
              </w:rPr>
              <w:t>IB9, IIA</w:t>
            </w:r>
          </w:p>
        </w:tc>
      </w:tr>
      <w:tr w:rsidR="00824305" w14:paraId="17FD1A62" w14:textId="77777777" w:rsidTr="00FA4891">
        <w:tc>
          <w:tcPr>
            <w:tcW w:w="4135" w:type="dxa"/>
            <w:shd w:val="clear" w:color="auto" w:fill="D9D9D9" w:themeFill="background1" w:themeFillShade="D9"/>
          </w:tcPr>
          <w:p w14:paraId="37A8B64C" w14:textId="066F59C7" w:rsidR="00824305" w:rsidRPr="00E81461" w:rsidRDefault="00B51F1B" w:rsidP="00773B7E">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824305" w:rsidRPr="00672500" w:rsidRDefault="00824305" w:rsidP="00824305">
            <w:pPr>
              <w:rPr>
                <w:rFonts w:asciiTheme="minorHAnsi" w:hAnsiTheme="minorHAnsi"/>
                <w:sz w:val="22"/>
                <w:szCs w:val="22"/>
              </w:rPr>
            </w:pPr>
          </w:p>
        </w:tc>
      </w:tr>
      <w:tr w:rsidR="00DD17A5" w14:paraId="08A07D90" w14:textId="77777777" w:rsidTr="00FA4891">
        <w:tc>
          <w:tcPr>
            <w:tcW w:w="4135" w:type="dxa"/>
          </w:tcPr>
          <w:p w14:paraId="148AE2C5" w14:textId="489B11BF" w:rsidR="00DD17A5" w:rsidRDefault="00B566BC" w:rsidP="008E14C1">
            <w:pPr>
              <w:rPr>
                <w:rFonts w:asciiTheme="minorHAnsi" w:hAnsiTheme="minorHAnsi"/>
              </w:rPr>
            </w:pPr>
            <w:r>
              <w:rPr>
                <w:rFonts w:asciiTheme="minorHAnsi" w:hAnsiTheme="minorHAnsi"/>
              </w:rPr>
              <w:t>SPOT Recertification</w:t>
            </w:r>
          </w:p>
        </w:tc>
        <w:tc>
          <w:tcPr>
            <w:tcW w:w="6655" w:type="dxa"/>
          </w:tcPr>
          <w:p w14:paraId="52C8789D" w14:textId="77777777" w:rsidR="00DD17A5" w:rsidRDefault="0036539D" w:rsidP="009D7910">
            <w:pPr>
              <w:rPr>
                <w:rFonts w:asciiTheme="minorHAnsi" w:hAnsiTheme="minorHAnsi"/>
                <w:sz w:val="22"/>
                <w:szCs w:val="22"/>
              </w:rPr>
            </w:pPr>
            <w:r>
              <w:rPr>
                <w:rFonts w:asciiTheme="minorHAnsi" w:hAnsiTheme="minorHAnsi"/>
                <w:sz w:val="22"/>
                <w:szCs w:val="22"/>
              </w:rPr>
              <w:t xml:space="preserve">The SPOT recertification webpage debuted October 1.  Emails were sent to DL faculty and department chairs.  A report has been sent to Academic Senate.  Most of the committee has already viewed the webpage and several have submitted for recertification.  </w:t>
            </w:r>
            <w:r w:rsidR="009D7910">
              <w:rPr>
                <w:rFonts w:asciiTheme="minorHAnsi" w:hAnsiTheme="minorHAnsi"/>
                <w:sz w:val="22"/>
                <w:szCs w:val="22"/>
              </w:rPr>
              <w:t xml:space="preserve"> </w:t>
            </w:r>
          </w:p>
          <w:p w14:paraId="4952E11A" w14:textId="1B70208C" w:rsidR="009D7910" w:rsidRDefault="009D7910" w:rsidP="009D7910">
            <w:pPr>
              <w:pStyle w:val="ListParagraph"/>
              <w:numPr>
                <w:ilvl w:val="0"/>
                <w:numId w:val="40"/>
              </w:numPr>
              <w:rPr>
                <w:rFonts w:asciiTheme="minorHAnsi" w:hAnsiTheme="minorHAnsi"/>
                <w:sz w:val="22"/>
                <w:szCs w:val="22"/>
              </w:rPr>
            </w:pPr>
            <w:r>
              <w:rPr>
                <w:rFonts w:asciiTheme="minorHAnsi" w:hAnsiTheme="minorHAnsi"/>
                <w:sz w:val="22"/>
                <w:szCs w:val="22"/>
              </w:rPr>
              <w:t>Over 20 faculty have submitted, but many submissions were rejected due to: not enough hours submitted; no Regulations Update included; SPOT training itself used as hours; cancelled classes listed; wrong date range used</w:t>
            </w:r>
          </w:p>
          <w:p w14:paraId="2CE119BD" w14:textId="7357B6FA" w:rsidR="009D7910" w:rsidRDefault="009D7910" w:rsidP="009D7910">
            <w:pPr>
              <w:pStyle w:val="ListParagraph"/>
              <w:numPr>
                <w:ilvl w:val="0"/>
                <w:numId w:val="40"/>
              </w:numPr>
              <w:rPr>
                <w:rFonts w:asciiTheme="minorHAnsi" w:hAnsiTheme="minorHAnsi"/>
                <w:sz w:val="22"/>
                <w:szCs w:val="22"/>
              </w:rPr>
            </w:pPr>
            <w:r>
              <w:rPr>
                <w:rFonts w:asciiTheme="minorHAnsi" w:hAnsiTheme="minorHAnsi"/>
                <w:sz w:val="22"/>
                <w:szCs w:val="22"/>
              </w:rPr>
              <w:t>Additional training approved by DLC (with evidence required):</w:t>
            </w:r>
          </w:p>
          <w:p w14:paraId="31E1F37D" w14:textId="0F03B6EE" w:rsidR="009D7910" w:rsidRDefault="009D7910" w:rsidP="009D7910">
            <w:pPr>
              <w:pStyle w:val="ListParagraph"/>
              <w:numPr>
                <w:ilvl w:val="1"/>
                <w:numId w:val="40"/>
              </w:numPr>
              <w:rPr>
                <w:rFonts w:asciiTheme="minorHAnsi" w:hAnsiTheme="minorHAnsi"/>
                <w:sz w:val="22"/>
                <w:szCs w:val="22"/>
              </w:rPr>
            </w:pPr>
            <w:r>
              <w:rPr>
                <w:rFonts w:asciiTheme="minorHAnsi" w:hAnsiTheme="minorHAnsi"/>
                <w:sz w:val="22"/>
                <w:szCs w:val="22"/>
              </w:rPr>
              <w:t xml:space="preserve">OEI alignment: faculty must submit congratulatory email to DL admin  </w:t>
            </w:r>
          </w:p>
          <w:p w14:paraId="3F6AF45D" w14:textId="276BB74D" w:rsidR="009D7910" w:rsidRDefault="009D7910" w:rsidP="009D7910">
            <w:pPr>
              <w:pStyle w:val="ListParagraph"/>
              <w:numPr>
                <w:ilvl w:val="1"/>
                <w:numId w:val="40"/>
              </w:numPr>
              <w:rPr>
                <w:rFonts w:asciiTheme="minorHAnsi" w:hAnsiTheme="minorHAnsi"/>
                <w:sz w:val="22"/>
                <w:szCs w:val="22"/>
              </w:rPr>
            </w:pPr>
            <w:r>
              <w:rPr>
                <w:rFonts w:asciiTheme="minorHAnsi" w:hAnsiTheme="minorHAnsi"/>
                <w:sz w:val="22"/>
                <w:szCs w:val="22"/>
              </w:rPr>
              <w:t>OTC attendance:  faculty must submit registration receipt and either a copy of their badge or a paragraph with a list of sessions they attended and what they learned to DL admin</w:t>
            </w:r>
          </w:p>
          <w:p w14:paraId="12CF759A" w14:textId="77777777" w:rsidR="009D7910" w:rsidRDefault="009D7910" w:rsidP="009D7910">
            <w:pPr>
              <w:pStyle w:val="ListParagraph"/>
              <w:numPr>
                <w:ilvl w:val="1"/>
                <w:numId w:val="40"/>
              </w:numPr>
              <w:rPr>
                <w:rFonts w:asciiTheme="minorHAnsi" w:hAnsiTheme="minorHAnsi"/>
                <w:sz w:val="22"/>
                <w:szCs w:val="22"/>
              </w:rPr>
            </w:pPr>
            <w:r>
              <w:rPr>
                <w:rFonts w:asciiTheme="minorHAnsi" w:hAnsiTheme="minorHAnsi"/>
                <w:sz w:val="22"/>
                <w:szCs w:val="22"/>
              </w:rPr>
              <w:t>Can-Innovate: in-person attendance still good; Can-Innovate claims that faculty can sign in before every session online and receive an email after 24 hours for every session they join or attend.  Faculty must submit emails for sessions to DL admin</w:t>
            </w:r>
          </w:p>
          <w:p w14:paraId="3D4ED8CA" w14:textId="77777777" w:rsidR="009D7910" w:rsidRDefault="009D7910" w:rsidP="009D7910">
            <w:pPr>
              <w:rPr>
                <w:rFonts w:asciiTheme="minorHAnsi" w:hAnsiTheme="minorHAnsi"/>
                <w:sz w:val="22"/>
                <w:szCs w:val="22"/>
              </w:rPr>
            </w:pPr>
            <w:r>
              <w:rPr>
                <w:rFonts w:asciiTheme="minorHAnsi" w:hAnsiTheme="minorHAnsi"/>
                <w:sz w:val="22"/>
                <w:szCs w:val="22"/>
              </w:rPr>
              <w:t>A huge thank you goes to the FCLT</w:t>
            </w:r>
            <w:r w:rsidR="00641A1D">
              <w:rPr>
                <w:rFonts w:asciiTheme="minorHAnsi" w:hAnsiTheme="minorHAnsi"/>
                <w:sz w:val="22"/>
                <w:szCs w:val="22"/>
              </w:rPr>
              <w:t>, IT,</w:t>
            </w:r>
            <w:r>
              <w:rPr>
                <w:rFonts w:asciiTheme="minorHAnsi" w:hAnsiTheme="minorHAnsi"/>
                <w:sz w:val="22"/>
                <w:szCs w:val="22"/>
              </w:rPr>
              <w:t xml:space="preserve"> and LLR staff for all the work they have done on this process.  </w:t>
            </w:r>
          </w:p>
          <w:p w14:paraId="2F2A663A" w14:textId="76B5D71F" w:rsidR="00641A1D" w:rsidRPr="009D7910" w:rsidRDefault="00641A1D" w:rsidP="009D7910">
            <w:pPr>
              <w:rPr>
                <w:rFonts w:asciiTheme="minorHAnsi" w:hAnsiTheme="minorHAnsi"/>
                <w:sz w:val="22"/>
                <w:szCs w:val="22"/>
              </w:rPr>
            </w:pPr>
            <w:r w:rsidRPr="00641A1D">
              <w:rPr>
                <w:rFonts w:asciiTheme="minorHAnsi" w:hAnsiTheme="minorHAnsi"/>
                <w:sz w:val="22"/>
                <w:szCs w:val="22"/>
                <w:highlight w:val="yellow"/>
              </w:rPr>
              <w:t>IB9, IIIC, IIIA14</w:t>
            </w:r>
          </w:p>
        </w:tc>
      </w:tr>
      <w:tr w:rsidR="00B566BC" w14:paraId="041C26AD" w14:textId="77777777" w:rsidTr="00FA4891">
        <w:tc>
          <w:tcPr>
            <w:tcW w:w="4135" w:type="dxa"/>
          </w:tcPr>
          <w:p w14:paraId="720195AA" w14:textId="0EE33C9B" w:rsidR="00B566BC" w:rsidRDefault="0011687F" w:rsidP="0011687F">
            <w:pPr>
              <w:rPr>
                <w:rFonts w:asciiTheme="minorHAnsi" w:hAnsiTheme="minorHAnsi"/>
              </w:rPr>
            </w:pPr>
            <w:r>
              <w:rPr>
                <w:rFonts w:asciiTheme="minorHAnsi" w:hAnsiTheme="minorHAnsi"/>
              </w:rPr>
              <w:t xml:space="preserve">ACCJC Substantive Change </w:t>
            </w:r>
          </w:p>
        </w:tc>
        <w:tc>
          <w:tcPr>
            <w:tcW w:w="6655" w:type="dxa"/>
          </w:tcPr>
          <w:p w14:paraId="41D78528" w14:textId="4C0BB4A4" w:rsidR="00B566BC" w:rsidRDefault="00B566BC" w:rsidP="001C5824">
            <w:pPr>
              <w:rPr>
                <w:rFonts w:asciiTheme="minorHAnsi" w:hAnsiTheme="minorHAnsi"/>
                <w:sz w:val="22"/>
                <w:szCs w:val="22"/>
              </w:rPr>
            </w:pPr>
            <w:r>
              <w:rPr>
                <w:rFonts w:asciiTheme="minorHAnsi" w:hAnsiTheme="minorHAnsi"/>
                <w:sz w:val="22"/>
                <w:szCs w:val="22"/>
              </w:rPr>
              <w:t>Threshold for substantive changes has changed to 50% of major requirements – not including General Education classes</w:t>
            </w:r>
          </w:p>
        </w:tc>
      </w:tr>
      <w:tr w:rsidR="00C705D2" w14:paraId="18CC5159" w14:textId="77777777" w:rsidTr="00FA4891">
        <w:tc>
          <w:tcPr>
            <w:tcW w:w="4135" w:type="dxa"/>
          </w:tcPr>
          <w:p w14:paraId="626918DE" w14:textId="4CC56677" w:rsidR="00C705D2" w:rsidRDefault="00C705D2" w:rsidP="007457AF">
            <w:pPr>
              <w:rPr>
                <w:rFonts w:asciiTheme="minorHAnsi" w:hAnsiTheme="minorHAnsi"/>
              </w:rPr>
            </w:pPr>
            <w:r>
              <w:rPr>
                <w:rFonts w:asciiTheme="minorHAnsi" w:hAnsiTheme="minorHAnsi"/>
              </w:rPr>
              <w:t>CVC OEI Rubric Resolution - local</w:t>
            </w:r>
          </w:p>
        </w:tc>
        <w:tc>
          <w:tcPr>
            <w:tcW w:w="6655" w:type="dxa"/>
          </w:tcPr>
          <w:p w14:paraId="25336B6E" w14:textId="77777777" w:rsidR="0011687F" w:rsidRDefault="00E66CF3" w:rsidP="0011687F">
            <w:pPr>
              <w:rPr>
                <w:rFonts w:asciiTheme="minorHAnsi" w:hAnsiTheme="minorHAnsi"/>
                <w:sz w:val="22"/>
                <w:szCs w:val="22"/>
              </w:rPr>
            </w:pPr>
            <w:r>
              <w:rPr>
                <w:rFonts w:asciiTheme="minorHAnsi" w:hAnsiTheme="minorHAnsi"/>
                <w:sz w:val="22"/>
                <w:szCs w:val="22"/>
              </w:rPr>
              <w:t xml:space="preserve">A resolution in support of campus adoption of the OEI rubric, and development of local campus POCR teams, was passed at ASCCC plenary in November 2018.  </w:t>
            </w:r>
          </w:p>
          <w:p w14:paraId="3C7CCE8F" w14:textId="77777777" w:rsidR="00C705D2" w:rsidRDefault="0011687F" w:rsidP="0011687F">
            <w:pPr>
              <w:pStyle w:val="ListParagraph"/>
              <w:numPr>
                <w:ilvl w:val="0"/>
                <w:numId w:val="37"/>
              </w:numPr>
              <w:rPr>
                <w:rFonts w:asciiTheme="minorHAnsi" w:hAnsiTheme="minorHAnsi"/>
                <w:sz w:val="22"/>
                <w:szCs w:val="22"/>
              </w:rPr>
            </w:pPr>
            <w:r>
              <w:rPr>
                <w:rFonts w:asciiTheme="minorHAnsi" w:hAnsiTheme="minorHAnsi"/>
                <w:sz w:val="22"/>
                <w:szCs w:val="22"/>
              </w:rPr>
              <w:t xml:space="preserve">The committee drafted </w:t>
            </w:r>
            <w:r w:rsidR="00E66CF3" w:rsidRPr="0011687F">
              <w:rPr>
                <w:rFonts w:asciiTheme="minorHAnsi" w:hAnsiTheme="minorHAnsi"/>
                <w:sz w:val="22"/>
                <w:szCs w:val="22"/>
              </w:rPr>
              <w:t>a local resolution to support the OEI rubric and local POCR team creation.</w:t>
            </w:r>
          </w:p>
          <w:p w14:paraId="749A50C6" w14:textId="77777777" w:rsidR="0011687F" w:rsidRDefault="0011687F" w:rsidP="0011687F">
            <w:pPr>
              <w:pStyle w:val="ListParagraph"/>
              <w:numPr>
                <w:ilvl w:val="0"/>
                <w:numId w:val="37"/>
              </w:numPr>
              <w:rPr>
                <w:rFonts w:asciiTheme="minorHAnsi" w:hAnsiTheme="minorHAnsi"/>
                <w:sz w:val="22"/>
                <w:szCs w:val="22"/>
              </w:rPr>
            </w:pPr>
            <w:r>
              <w:rPr>
                <w:rFonts w:asciiTheme="minorHAnsi" w:hAnsiTheme="minorHAnsi"/>
                <w:sz w:val="22"/>
                <w:szCs w:val="22"/>
              </w:rPr>
              <w:t>The draft will be reviewed at the next meeting.</w:t>
            </w:r>
          </w:p>
          <w:p w14:paraId="74EBE565" w14:textId="789E7D3B" w:rsidR="00641A1D" w:rsidRPr="00641A1D" w:rsidRDefault="00641A1D" w:rsidP="00641A1D">
            <w:pPr>
              <w:pStyle w:val="ListParagraph"/>
              <w:ind w:left="0"/>
              <w:rPr>
                <w:rFonts w:asciiTheme="minorHAnsi" w:hAnsiTheme="minorHAnsi"/>
                <w:sz w:val="22"/>
                <w:szCs w:val="22"/>
              </w:rPr>
            </w:pPr>
            <w:r w:rsidRPr="00641A1D">
              <w:rPr>
                <w:rFonts w:asciiTheme="minorHAnsi" w:hAnsiTheme="minorHAnsi"/>
                <w:sz w:val="22"/>
                <w:szCs w:val="22"/>
                <w:highlight w:val="yellow"/>
              </w:rPr>
              <w:t>IB9, IIA</w:t>
            </w:r>
          </w:p>
        </w:tc>
      </w:tr>
      <w:tr w:rsidR="00C705D2" w14:paraId="0D89317B" w14:textId="77777777" w:rsidTr="00FA4891">
        <w:tc>
          <w:tcPr>
            <w:tcW w:w="4135" w:type="dxa"/>
          </w:tcPr>
          <w:p w14:paraId="7952A9ED" w14:textId="151F5B10" w:rsidR="00C705D2" w:rsidRDefault="00B566BC" w:rsidP="007457AF">
            <w:pPr>
              <w:rPr>
                <w:rFonts w:asciiTheme="minorHAnsi" w:hAnsiTheme="minorHAnsi"/>
              </w:rPr>
            </w:pPr>
            <w:r>
              <w:rPr>
                <w:rFonts w:asciiTheme="minorHAnsi" w:hAnsiTheme="minorHAnsi"/>
              </w:rPr>
              <w:t>CVC OEI Grant Update</w:t>
            </w:r>
          </w:p>
        </w:tc>
        <w:tc>
          <w:tcPr>
            <w:tcW w:w="6655" w:type="dxa"/>
          </w:tcPr>
          <w:p w14:paraId="769A91C2" w14:textId="77777777" w:rsidR="00C705D2" w:rsidRDefault="0011687F" w:rsidP="0011687F">
            <w:pPr>
              <w:pStyle w:val="ListParagraph"/>
              <w:numPr>
                <w:ilvl w:val="0"/>
                <w:numId w:val="39"/>
              </w:numPr>
              <w:rPr>
                <w:rFonts w:asciiTheme="minorHAnsi" w:hAnsiTheme="minorHAnsi"/>
                <w:sz w:val="22"/>
                <w:szCs w:val="22"/>
              </w:rPr>
            </w:pPr>
            <w:r>
              <w:rPr>
                <w:rFonts w:asciiTheme="minorHAnsi" w:hAnsiTheme="minorHAnsi"/>
                <w:sz w:val="22"/>
                <w:szCs w:val="22"/>
              </w:rPr>
              <w:t>Outreach to CTE faculty</w:t>
            </w:r>
          </w:p>
          <w:p w14:paraId="36448788" w14:textId="77777777" w:rsidR="0011687F" w:rsidRDefault="0011687F" w:rsidP="0011687F">
            <w:pPr>
              <w:pStyle w:val="ListParagraph"/>
              <w:numPr>
                <w:ilvl w:val="0"/>
                <w:numId w:val="39"/>
              </w:numPr>
              <w:rPr>
                <w:rFonts w:asciiTheme="minorHAnsi" w:hAnsiTheme="minorHAnsi"/>
                <w:sz w:val="22"/>
                <w:szCs w:val="22"/>
              </w:rPr>
            </w:pPr>
            <w:r>
              <w:rPr>
                <w:rFonts w:asciiTheme="minorHAnsi" w:hAnsiTheme="minorHAnsi"/>
                <w:sz w:val="22"/>
                <w:szCs w:val="22"/>
              </w:rPr>
              <w:t>Zoom meeting with CVC-OEI to go over POCR processes</w:t>
            </w:r>
          </w:p>
          <w:p w14:paraId="734DDFA2" w14:textId="5487CC92" w:rsidR="00641A1D" w:rsidRPr="00641A1D" w:rsidRDefault="00641A1D" w:rsidP="00641A1D">
            <w:pPr>
              <w:rPr>
                <w:rFonts w:asciiTheme="minorHAnsi" w:hAnsiTheme="minorHAnsi"/>
                <w:sz w:val="22"/>
                <w:szCs w:val="22"/>
              </w:rPr>
            </w:pPr>
            <w:r w:rsidRPr="00546DB2">
              <w:rPr>
                <w:rFonts w:asciiTheme="minorHAnsi" w:hAnsiTheme="minorHAnsi"/>
                <w:sz w:val="22"/>
                <w:szCs w:val="22"/>
                <w:highlight w:val="yellow"/>
              </w:rPr>
              <w:t>IB9, IIA, IIC, IIIC</w:t>
            </w:r>
          </w:p>
        </w:tc>
      </w:tr>
      <w:tr w:rsidR="007457AF" w14:paraId="27E60247" w14:textId="77777777" w:rsidTr="00FA4891">
        <w:tc>
          <w:tcPr>
            <w:tcW w:w="4135" w:type="dxa"/>
            <w:shd w:val="clear" w:color="auto" w:fill="D9D9D9" w:themeFill="background1" w:themeFillShade="D9"/>
          </w:tcPr>
          <w:p w14:paraId="11385CB5" w14:textId="2D56F982" w:rsidR="007457AF" w:rsidRPr="00970383" w:rsidRDefault="007457AF" w:rsidP="007457AF">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3A4944ED" w14:textId="66682542" w:rsidR="007457AF" w:rsidRPr="00823B5D" w:rsidRDefault="007457AF" w:rsidP="007457AF">
            <w:pPr>
              <w:rPr>
                <w:rFonts w:asciiTheme="minorHAnsi" w:hAnsiTheme="minorHAnsi"/>
                <w:sz w:val="22"/>
                <w:szCs w:val="22"/>
              </w:rPr>
            </w:pPr>
          </w:p>
        </w:tc>
      </w:tr>
      <w:tr w:rsidR="007457AF" w14:paraId="534015AF" w14:textId="77777777" w:rsidTr="00FA4891">
        <w:trPr>
          <w:trHeight w:val="377"/>
        </w:trPr>
        <w:tc>
          <w:tcPr>
            <w:tcW w:w="4135" w:type="dxa"/>
          </w:tcPr>
          <w:p w14:paraId="3ACCC3B9" w14:textId="7CAEAECA" w:rsidR="007457AF" w:rsidRDefault="007457AF" w:rsidP="007457AF">
            <w:pPr>
              <w:rPr>
                <w:rFonts w:asciiTheme="minorHAnsi" w:hAnsiTheme="minorHAnsi"/>
              </w:rPr>
            </w:pPr>
          </w:p>
        </w:tc>
        <w:tc>
          <w:tcPr>
            <w:tcW w:w="6655" w:type="dxa"/>
          </w:tcPr>
          <w:p w14:paraId="5C7D700A" w14:textId="0B775B06" w:rsidR="007457AF" w:rsidRDefault="007457AF" w:rsidP="007457AF">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7CCA0104" w14:textId="29C4ACEB" w:rsidR="008C097E" w:rsidRPr="00F1585E" w:rsidRDefault="00783D99" w:rsidP="00F1585E">
      <w:pPr>
        <w:rPr>
          <w:rFonts w:asciiTheme="minorHAnsi" w:hAnsiTheme="minorHAnsi"/>
          <w:sz w:val="20"/>
          <w:szCs w:val="20"/>
        </w:rPr>
      </w:pPr>
      <w:r>
        <w:rPr>
          <w:rFonts w:asciiTheme="minorHAnsi" w:hAnsiTheme="minorHAnsi"/>
          <w:b/>
          <w:sz w:val="20"/>
          <w:szCs w:val="20"/>
        </w:rPr>
        <w:t>Spring 2019</w:t>
      </w:r>
      <w:r w:rsidR="008C097E" w:rsidRPr="005263AA">
        <w:rPr>
          <w:rFonts w:asciiTheme="minorHAnsi" w:hAnsiTheme="minorHAnsi"/>
          <w:b/>
          <w:sz w:val="20"/>
          <w:szCs w:val="20"/>
        </w:rPr>
        <w:t xml:space="preserve"> semester dates –</w:t>
      </w:r>
      <w:r w:rsidR="007F7F4C" w:rsidRPr="005263AA">
        <w:rPr>
          <w:rFonts w:asciiTheme="minorHAnsi" w:hAnsiTheme="minorHAnsi"/>
          <w:b/>
          <w:sz w:val="20"/>
          <w:szCs w:val="20"/>
        </w:rPr>
        <w:t>8</w:t>
      </w:r>
      <w:r w:rsidR="00013AD8" w:rsidRPr="005263AA">
        <w:rPr>
          <w:rFonts w:asciiTheme="minorHAnsi" w:hAnsiTheme="minorHAnsi"/>
          <w:b/>
          <w:sz w:val="20"/>
          <w:szCs w:val="20"/>
        </w:rPr>
        <w:t xml:space="preserve"> meetings</w:t>
      </w:r>
      <w:r>
        <w:rPr>
          <w:rFonts w:asciiTheme="minorHAnsi" w:hAnsiTheme="minorHAnsi"/>
          <w:b/>
          <w:sz w:val="20"/>
          <w:szCs w:val="20"/>
        </w:rPr>
        <w:t xml:space="preserve"> –</w:t>
      </w:r>
      <w:r w:rsidR="00321725">
        <w:rPr>
          <w:rFonts w:asciiTheme="minorHAnsi" w:hAnsiTheme="minorHAnsi"/>
          <w:sz w:val="20"/>
          <w:szCs w:val="20"/>
        </w:rPr>
        <w:t>8/27, 9/10,</w:t>
      </w:r>
      <w:r w:rsidR="00F1585E" w:rsidRPr="00F1585E">
        <w:rPr>
          <w:rFonts w:asciiTheme="minorHAnsi" w:hAnsiTheme="minorHAnsi"/>
          <w:sz w:val="20"/>
          <w:szCs w:val="20"/>
        </w:rPr>
        <w:t xml:space="preserve"> 9/24, 10/8, 10/22, 11/12, 11/26, 12/10</w:t>
      </w:r>
      <w:r w:rsidR="00F1585E">
        <w:rPr>
          <w:rFonts w:asciiTheme="minorHAnsi" w:hAnsiTheme="minorHAnsi"/>
          <w:sz w:val="20"/>
          <w:szCs w:val="20"/>
        </w:rPr>
        <w:t xml:space="preserve"> as needed</w:t>
      </w:r>
      <w:r w:rsidR="00F1585E">
        <w:rPr>
          <w:rFonts w:asciiTheme="minorHAnsi" w:hAnsiTheme="minorHAnsi"/>
          <w:b/>
          <w:sz w:val="20"/>
          <w:szCs w:val="20"/>
        </w:rPr>
        <w:t xml:space="preserve"> </w:t>
      </w:r>
      <w:r>
        <w:rPr>
          <w:rFonts w:asciiTheme="minorHAnsi" w:hAnsiTheme="minorHAnsi"/>
          <w:b/>
          <w:sz w:val="20"/>
          <w:szCs w:val="20"/>
        </w:rPr>
        <w:t>(finals week)</w:t>
      </w:r>
    </w:p>
    <w:p w14:paraId="6C95E618" w14:textId="14CCA804"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5 PM in</w:t>
      </w:r>
      <w:r w:rsidRPr="005263AA">
        <w:rPr>
          <w:rFonts w:ascii="Arial Narrow" w:hAnsi="Arial Narrow"/>
          <w:b/>
          <w:sz w:val="20"/>
          <w:szCs w:val="20"/>
        </w:rPr>
        <w:t xml:space="preserve"> </w:t>
      </w:r>
      <w:r w:rsidR="009F4494" w:rsidRPr="005263AA">
        <w:rPr>
          <w:rFonts w:ascii="Arial Narrow" w:hAnsi="Arial Narrow"/>
          <w:b/>
          <w:sz w:val="20"/>
          <w:szCs w:val="20"/>
        </w:rPr>
        <w:t>6-226A</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CEC9C26" w14:textId="38B36B43" w:rsidR="00BE7DF3" w:rsidRPr="005263AA" w:rsidRDefault="008C097E" w:rsidP="005263AA">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0E64D0FB" w14:textId="7810065D" w:rsidR="00016B10" w:rsidRPr="00035458" w:rsidRDefault="00016B10" w:rsidP="00035458">
      <w:pPr>
        <w:pStyle w:val="Heading1"/>
        <w:rPr>
          <w:rStyle w:val="Strong"/>
        </w:rPr>
      </w:pPr>
      <w:r w:rsidRPr="00035458">
        <w:rPr>
          <w:rStyle w:val="Strong"/>
        </w:rPr>
        <w:t>DLC Accreditation Themes:</w:t>
      </w:r>
    </w:p>
    <w:p w14:paraId="30ACA900" w14:textId="77FB543F" w:rsidR="00035458" w:rsidRPr="00F3287D" w:rsidRDefault="00035458" w:rsidP="00016B10">
      <w:pPr>
        <w:pStyle w:val="ListParagraph"/>
        <w:numPr>
          <w:ilvl w:val="0"/>
          <w:numId w:val="7"/>
        </w:numPr>
        <w:rPr>
          <w:rFonts w:ascii="Arial" w:hAnsi="Arial" w:cs="Arial"/>
          <w:sz w:val="22"/>
          <w:szCs w:val="22"/>
        </w:rPr>
      </w:pPr>
      <w:r w:rsidRPr="005B3A56">
        <w:rPr>
          <w:rFonts w:ascii="Arial" w:hAnsi="Arial" w:cs="Arial"/>
          <w:sz w:val="22"/>
          <w:szCs w:val="22"/>
          <w:highlight w:val="yellow"/>
        </w:rPr>
        <w:t>IB9.</w:t>
      </w:r>
      <w:r w:rsidRPr="00F3287D">
        <w:rPr>
          <w:rFonts w:ascii="Arial" w:hAnsi="Arial" w:cs="Arial"/>
          <w:sz w:val="22"/>
          <w:szCs w:val="22"/>
        </w:rPr>
        <w:t xml:space="preserve">  </w:t>
      </w:r>
      <w:r w:rsidRPr="00F3287D">
        <w:rPr>
          <w:rFonts w:ascii="Arial" w:hAnsi="Arial" w:cs="Arial"/>
          <w:sz w:val="22"/>
          <w:szCs w:val="22"/>
          <w:highlight w:val="yellow"/>
        </w:rPr>
        <w:t>Assuring Academic Quality and Institutional Effectiveness Academic Quality</w:t>
      </w:r>
      <w:r w:rsidRPr="00F3287D">
        <w:rPr>
          <w:rFonts w:ascii="Arial" w:hAnsi="Arial" w:cs="Arial"/>
          <w:sz w:val="22"/>
          <w:szCs w:val="22"/>
        </w:rPr>
        <w:t xml:space="preserve"> – Engages in continuous, broad based, systematic evaluation and planning</w:t>
      </w:r>
    </w:p>
    <w:p w14:paraId="19D10F14" w14:textId="45FF745B" w:rsidR="00016B10" w:rsidRPr="00F3287D" w:rsidRDefault="00016B10" w:rsidP="00016B10">
      <w:pPr>
        <w:pStyle w:val="ListParagraph"/>
        <w:numPr>
          <w:ilvl w:val="0"/>
          <w:numId w:val="7"/>
        </w:numPr>
        <w:rPr>
          <w:rFonts w:ascii="Arial" w:hAnsi="Arial" w:cs="Arial"/>
          <w:sz w:val="22"/>
          <w:szCs w:val="22"/>
        </w:rPr>
      </w:pPr>
      <w:r w:rsidRPr="00F3287D">
        <w:rPr>
          <w:rFonts w:ascii="Arial" w:hAnsi="Arial" w:cs="Arial"/>
          <w:sz w:val="22"/>
          <w:szCs w:val="22"/>
          <w:highlight w:val="yellow"/>
        </w:rPr>
        <w:t>IIA. Instructional Programs</w:t>
      </w:r>
      <w:r w:rsidRPr="00F3287D">
        <w:rPr>
          <w:rFonts w:ascii="Arial" w:hAnsi="Arial" w:cs="Arial"/>
          <w:sz w:val="22"/>
          <w:szCs w:val="22"/>
        </w:rPr>
        <w:t xml:space="preserve"> – Uses delivery modes, including DL, in support of equity</w:t>
      </w:r>
    </w:p>
    <w:p w14:paraId="741FA29E" w14:textId="5E90F7F3" w:rsidR="00035458" w:rsidRPr="00F3287D" w:rsidRDefault="00035458" w:rsidP="00016B10">
      <w:pPr>
        <w:pStyle w:val="ListParagraph"/>
        <w:numPr>
          <w:ilvl w:val="0"/>
          <w:numId w:val="7"/>
        </w:numPr>
        <w:rPr>
          <w:rFonts w:ascii="Arial" w:hAnsi="Arial" w:cs="Arial"/>
          <w:sz w:val="22"/>
          <w:szCs w:val="22"/>
        </w:rPr>
      </w:pPr>
      <w:r w:rsidRPr="00F3287D">
        <w:rPr>
          <w:rFonts w:ascii="Arial" w:hAnsi="Arial" w:cs="Arial"/>
          <w:sz w:val="22"/>
          <w:szCs w:val="22"/>
          <w:highlight w:val="yellow"/>
        </w:rPr>
        <w:t>IIB.</w:t>
      </w:r>
      <w:r w:rsidR="00F3287D" w:rsidRPr="00F3287D">
        <w:rPr>
          <w:rFonts w:ascii="Arial" w:hAnsi="Arial" w:cs="Arial"/>
          <w:sz w:val="22"/>
          <w:szCs w:val="22"/>
          <w:highlight w:val="yellow"/>
        </w:rPr>
        <w:t xml:space="preserve"> </w:t>
      </w:r>
      <w:r w:rsidR="005B3A56" w:rsidRPr="005B3A56">
        <w:rPr>
          <w:rFonts w:ascii="Arial" w:hAnsi="Arial" w:cs="Arial"/>
          <w:sz w:val="22"/>
          <w:szCs w:val="22"/>
          <w:highlight w:val="yellow"/>
        </w:rPr>
        <w:t>Library and Learning Support Services</w:t>
      </w:r>
      <w:r w:rsidR="00F3287D">
        <w:rPr>
          <w:rFonts w:ascii="Arial" w:hAnsi="Arial" w:cs="Arial"/>
          <w:sz w:val="22"/>
          <w:szCs w:val="22"/>
        </w:rPr>
        <w:t xml:space="preserve"> – Provides library and other learning support services to support educational programs, including DL</w:t>
      </w:r>
    </w:p>
    <w:p w14:paraId="2DED20D6" w14:textId="0E0A33D8" w:rsidR="00035458" w:rsidRPr="00F3287D" w:rsidRDefault="00035458" w:rsidP="00016B10">
      <w:pPr>
        <w:pStyle w:val="ListParagraph"/>
        <w:numPr>
          <w:ilvl w:val="0"/>
          <w:numId w:val="7"/>
        </w:numPr>
        <w:rPr>
          <w:rFonts w:ascii="Arial" w:hAnsi="Arial" w:cs="Arial"/>
          <w:sz w:val="22"/>
          <w:szCs w:val="22"/>
        </w:rPr>
      </w:pPr>
      <w:r w:rsidRPr="005B3A56">
        <w:rPr>
          <w:rFonts w:ascii="Arial" w:hAnsi="Arial" w:cs="Arial"/>
          <w:sz w:val="22"/>
          <w:szCs w:val="22"/>
          <w:highlight w:val="yellow"/>
        </w:rPr>
        <w:t>IIC.</w:t>
      </w:r>
      <w:r w:rsidR="005B3A56" w:rsidRPr="005B3A56">
        <w:rPr>
          <w:rFonts w:ascii="Arial" w:hAnsi="Arial" w:cs="Arial"/>
          <w:sz w:val="22"/>
          <w:szCs w:val="22"/>
          <w:highlight w:val="yellow"/>
        </w:rPr>
        <w:t xml:space="preserve"> Student Support Services</w:t>
      </w:r>
      <w:r w:rsidR="005B3A56">
        <w:rPr>
          <w:rFonts w:ascii="Arial" w:hAnsi="Arial" w:cs="Arial"/>
          <w:sz w:val="22"/>
          <w:szCs w:val="22"/>
        </w:rPr>
        <w:t xml:space="preserve"> – Evaluates and demonstrates that student support services support student learning in various modes, including DL</w:t>
      </w:r>
    </w:p>
    <w:p w14:paraId="50DF1A40" w14:textId="5EACCC7E" w:rsidR="000656FD" w:rsidRPr="00F3287D" w:rsidRDefault="00016B10" w:rsidP="000656FD">
      <w:pPr>
        <w:pStyle w:val="ListParagraph"/>
        <w:numPr>
          <w:ilvl w:val="0"/>
          <w:numId w:val="7"/>
        </w:numPr>
        <w:rPr>
          <w:rFonts w:ascii="Arial" w:hAnsi="Arial" w:cs="Arial"/>
          <w:sz w:val="22"/>
          <w:szCs w:val="22"/>
        </w:rPr>
      </w:pPr>
      <w:r w:rsidRPr="00F3287D">
        <w:rPr>
          <w:rFonts w:ascii="Arial" w:hAnsi="Arial" w:cs="Arial"/>
          <w:sz w:val="22"/>
          <w:szCs w:val="22"/>
          <w:highlight w:val="yellow"/>
        </w:rPr>
        <w:t>IIIC. Technology Resources</w:t>
      </w:r>
      <w:r w:rsidRPr="00F3287D">
        <w:rPr>
          <w:rFonts w:ascii="Arial" w:hAnsi="Arial" w:cs="Arial"/>
          <w:sz w:val="22"/>
          <w:szCs w:val="22"/>
        </w:rPr>
        <w:t xml:space="preserve"> – Provides support in the use of technology</w:t>
      </w:r>
    </w:p>
    <w:p w14:paraId="63D77612" w14:textId="69DF7EBB" w:rsidR="008374A9" w:rsidRDefault="00035458" w:rsidP="003F2ECB">
      <w:pPr>
        <w:pStyle w:val="ListParagraph"/>
        <w:numPr>
          <w:ilvl w:val="0"/>
          <w:numId w:val="7"/>
        </w:numPr>
        <w:rPr>
          <w:rFonts w:ascii="Arial" w:hAnsi="Arial" w:cs="Arial"/>
          <w:sz w:val="22"/>
          <w:szCs w:val="22"/>
        </w:rPr>
      </w:pPr>
      <w:r w:rsidRPr="005B3A56">
        <w:rPr>
          <w:rFonts w:ascii="Arial" w:hAnsi="Arial" w:cs="Arial"/>
          <w:sz w:val="22"/>
          <w:szCs w:val="22"/>
          <w:highlight w:val="yellow"/>
        </w:rPr>
        <w:t>IIIA14</w:t>
      </w:r>
      <w:r w:rsidR="005B3A56" w:rsidRPr="005B3A56">
        <w:rPr>
          <w:rFonts w:ascii="Arial" w:hAnsi="Arial" w:cs="Arial"/>
          <w:sz w:val="22"/>
          <w:szCs w:val="22"/>
          <w:highlight w:val="yellow"/>
        </w:rPr>
        <w:t>.  Human Resources</w:t>
      </w:r>
      <w:r w:rsidR="005B3A56">
        <w:rPr>
          <w:rFonts w:ascii="Arial" w:hAnsi="Arial" w:cs="Arial"/>
          <w:sz w:val="22"/>
          <w:szCs w:val="22"/>
        </w:rPr>
        <w:t xml:space="preserve"> – Provides all personnel with appropriate opportunities for continued professional development.</w:t>
      </w:r>
    </w:p>
    <w:p w14:paraId="3E0DBFC6" w14:textId="788BAE0E" w:rsidR="00FE19C0" w:rsidRDefault="00FE19C0" w:rsidP="00FE19C0">
      <w:pPr>
        <w:rPr>
          <w:rFonts w:ascii="Arial" w:hAnsi="Arial" w:cs="Arial"/>
          <w:sz w:val="22"/>
          <w:szCs w:val="22"/>
        </w:rPr>
      </w:pPr>
    </w:p>
    <w:p w14:paraId="09D901DF" w14:textId="77777777" w:rsidR="007F21B8" w:rsidRDefault="007F21B8" w:rsidP="002C7C5A">
      <w:pPr>
        <w:pStyle w:val="Heading2ResolutionTitle"/>
        <w:rPr>
          <w:rFonts w:ascii="Arial" w:hAnsi="Arial" w:cs="Arial"/>
          <w:sz w:val="22"/>
          <w:szCs w:val="22"/>
        </w:rPr>
      </w:pPr>
    </w:p>
    <w:sectPr w:rsidR="007F21B8"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9DE7" w14:textId="77777777" w:rsidR="00DD5E68" w:rsidRDefault="00DD5E68" w:rsidP="005E5603">
      <w:r>
        <w:separator/>
      </w:r>
    </w:p>
  </w:endnote>
  <w:endnote w:type="continuationSeparator" w:id="0">
    <w:p w14:paraId="36109B48" w14:textId="77777777" w:rsidR="00DD5E68" w:rsidRDefault="00DD5E68"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DD32" w14:textId="77777777" w:rsidR="00DD5E68" w:rsidRDefault="00DD5E68" w:rsidP="005E5603">
      <w:r>
        <w:separator/>
      </w:r>
    </w:p>
  </w:footnote>
  <w:footnote w:type="continuationSeparator" w:id="0">
    <w:p w14:paraId="182C9970" w14:textId="77777777" w:rsidR="00DD5E68" w:rsidRDefault="00DD5E68"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16DB76"/>
    <w:multiLevelType w:val="hybridMultilevel"/>
    <w:tmpl w:val="E4320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9C1AFBC4"/>
    <w:lvl w:ilvl="0">
      <w:numFmt w:val="bullet"/>
      <w:lvlText w:val="*"/>
      <w:lvlJc w:val="left"/>
    </w:lvl>
  </w:abstractNum>
  <w:abstractNum w:abstractNumId="2" w15:restartNumberingAfterBreak="0">
    <w:nsid w:val="00DA546E"/>
    <w:multiLevelType w:val="hybridMultilevel"/>
    <w:tmpl w:val="B330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7C0E98"/>
    <w:multiLevelType w:val="hybridMultilevel"/>
    <w:tmpl w:val="22B2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1B19"/>
    <w:multiLevelType w:val="hybridMultilevel"/>
    <w:tmpl w:val="6A5CA5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75572A3"/>
    <w:multiLevelType w:val="hybridMultilevel"/>
    <w:tmpl w:val="73702A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71F99"/>
    <w:multiLevelType w:val="hybridMultilevel"/>
    <w:tmpl w:val="5E7E9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596958"/>
    <w:multiLevelType w:val="multilevel"/>
    <w:tmpl w:val="2FD6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2576B"/>
    <w:multiLevelType w:val="hybridMultilevel"/>
    <w:tmpl w:val="ED00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97BAC"/>
    <w:multiLevelType w:val="hybridMultilevel"/>
    <w:tmpl w:val="80EC8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947D12"/>
    <w:multiLevelType w:val="hybridMultilevel"/>
    <w:tmpl w:val="B7DAC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81B64"/>
    <w:multiLevelType w:val="hybridMultilevel"/>
    <w:tmpl w:val="A82045B0"/>
    <w:lvl w:ilvl="0" w:tplc="B22E13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53DDC"/>
    <w:multiLevelType w:val="hybridMultilevel"/>
    <w:tmpl w:val="D8F49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F2A4ED2"/>
    <w:multiLevelType w:val="multilevel"/>
    <w:tmpl w:val="2DAEEB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1F5C3217"/>
    <w:multiLevelType w:val="hybridMultilevel"/>
    <w:tmpl w:val="AA6C9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AE42C2"/>
    <w:multiLevelType w:val="hybridMultilevel"/>
    <w:tmpl w:val="94E6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7B"/>
    <w:multiLevelType w:val="hybridMultilevel"/>
    <w:tmpl w:val="186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5324E"/>
    <w:multiLevelType w:val="hybridMultilevel"/>
    <w:tmpl w:val="2CC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74AC1"/>
    <w:multiLevelType w:val="multilevel"/>
    <w:tmpl w:val="428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217CC"/>
    <w:multiLevelType w:val="hybridMultilevel"/>
    <w:tmpl w:val="359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96152"/>
    <w:multiLevelType w:val="hybridMultilevel"/>
    <w:tmpl w:val="1CFE9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E21399D"/>
    <w:multiLevelType w:val="hybridMultilevel"/>
    <w:tmpl w:val="F7E4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C4E19"/>
    <w:multiLevelType w:val="hybridMultilevel"/>
    <w:tmpl w:val="D3E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77AC6"/>
    <w:multiLevelType w:val="hybridMultilevel"/>
    <w:tmpl w:val="A602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77905"/>
    <w:multiLevelType w:val="hybridMultilevel"/>
    <w:tmpl w:val="32CAC7D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47D90A66"/>
    <w:multiLevelType w:val="hybridMultilevel"/>
    <w:tmpl w:val="F300EC60"/>
    <w:lvl w:ilvl="0" w:tplc="E496F9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63ECD"/>
    <w:multiLevelType w:val="hybridMultilevel"/>
    <w:tmpl w:val="E3A6E7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49311D71"/>
    <w:multiLevelType w:val="hybridMultilevel"/>
    <w:tmpl w:val="65E0A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CD34CC"/>
    <w:multiLevelType w:val="hybridMultilevel"/>
    <w:tmpl w:val="6AFEEC70"/>
    <w:lvl w:ilvl="0" w:tplc="B22E13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33776"/>
    <w:multiLevelType w:val="hybridMultilevel"/>
    <w:tmpl w:val="E13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127FB"/>
    <w:multiLevelType w:val="hybridMultilevel"/>
    <w:tmpl w:val="CF047A4A"/>
    <w:lvl w:ilvl="0" w:tplc="FC54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C12E8"/>
    <w:multiLevelType w:val="hybridMultilevel"/>
    <w:tmpl w:val="F2B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A60C7"/>
    <w:multiLevelType w:val="hybridMultilevel"/>
    <w:tmpl w:val="D840B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AF3490"/>
    <w:multiLevelType w:val="hybridMultilevel"/>
    <w:tmpl w:val="6E5A0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266A4"/>
    <w:multiLevelType w:val="hybridMultilevel"/>
    <w:tmpl w:val="CFF48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CD7198"/>
    <w:multiLevelType w:val="hybridMultilevel"/>
    <w:tmpl w:val="24FC65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6F375951"/>
    <w:multiLevelType w:val="hybridMultilevel"/>
    <w:tmpl w:val="9E2A44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FC7692E"/>
    <w:multiLevelType w:val="hybridMultilevel"/>
    <w:tmpl w:val="D53CE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CE46A8"/>
    <w:multiLevelType w:val="hybridMultilevel"/>
    <w:tmpl w:val="BABC3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Helv" w:hAnsi="Helv" w:hint="default"/>
        </w:rPr>
      </w:lvl>
    </w:lvlOverride>
  </w:num>
  <w:num w:numId="2">
    <w:abstractNumId w:val="21"/>
  </w:num>
  <w:num w:numId="3">
    <w:abstractNumId w:val="30"/>
  </w:num>
  <w:num w:numId="4">
    <w:abstractNumId w:val="25"/>
  </w:num>
  <w:num w:numId="5">
    <w:abstractNumId w:val="4"/>
  </w:num>
  <w:num w:numId="6">
    <w:abstractNumId w:val="18"/>
  </w:num>
  <w:num w:numId="7">
    <w:abstractNumId w:val="12"/>
  </w:num>
  <w:num w:numId="8">
    <w:abstractNumId w:val="27"/>
  </w:num>
  <w:num w:numId="9">
    <w:abstractNumId w:val="16"/>
  </w:num>
  <w:num w:numId="10">
    <w:abstractNumId w:val="20"/>
  </w:num>
  <w:num w:numId="11">
    <w:abstractNumId w:val="24"/>
  </w:num>
  <w:num w:numId="12">
    <w:abstractNumId w:val="6"/>
  </w:num>
  <w:num w:numId="13">
    <w:abstractNumId w:val="13"/>
  </w:num>
  <w:num w:numId="14">
    <w:abstractNumId w:val="39"/>
  </w:num>
  <w:num w:numId="15">
    <w:abstractNumId w:val="26"/>
  </w:num>
  <w:num w:numId="16">
    <w:abstractNumId w:val="7"/>
  </w:num>
  <w:num w:numId="17">
    <w:abstractNumId w:val="17"/>
  </w:num>
  <w:num w:numId="18">
    <w:abstractNumId w:val="10"/>
  </w:num>
  <w:num w:numId="19">
    <w:abstractNumId w:val="31"/>
  </w:num>
  <w:num w:numId="20">
    <w:abstractNumId w:val="0"/>
  </w:num>
  <w:num w:numId="21">
    <w:abstractNumId w:val="37"/>
  </w:num>
  <w:num w:numId="22">
    <w:abstractNumId w:val="2"/>
  </w:num>
  <w:num w:numId="23">
    <w:abstractNumId w:val="5"/>
  </w:num>
  <w:num w:numId="24">
    <w:abstractNumId w:val="19"/>
  </w:num>
  <w:num w:numId="25">
    <w:abstractNumId w:val="32"/>
  </w:num>
  <w:num w:numId="26">
    <w:abstractNumId w:val="8"/>
  </w:num>
  <w:num w:numId="27">
    <w:abstractNumId w:val="3"/>
  </w:num>
  <w:num w:numId="28">
    <w:abstractNumId w:val="9"/>
  </w:num>
  <w:num w:numId="29">
    <w:abstractNumId w:val="33"/>
  </w:num>
  <w:num w:numId="30">
    <w:abstractNumId w:val="3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num>
  <w:num w:numId="34">
    <w:abstractNumId w:val="35"/>
  </w:num>
  <w:num w:numId="35">
    <w:abstractNumId w:val="11"/>
  </w:num>
  <w:num w:numId="36">
    <w:abstractNumId w:val="29"/>
  </w:num>
  <w:num w:numId="37">
    <w:abstractNumId w:val="23"/>
  </w:num>
  <w:num w:numId="38">
    <w:abstractNumId w:val="36"/>
  </w:num>
  <w:num w:numId="39">
    <w:abstractNumId w:val="2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2649"/>
    <w:rsid w:val="000062EA"/>
    <w:rsid w:val="0000735F"/>
    <w:rsid w:val="00013AD8"/>
    <w:rsid w:val="00016B10"/>
    <w:rsid w:val="000250A4"/>
    <w:rsid w:val="00031DA7"/>
    <w:rsid w:val="00035458"/>
    <w:rsid w:val="00053C9D"/>
    <w:rsid w:val="00062C95"/>
    <w:rsid w:val="000655A5"/>
    <w:rsid w:val="000656FD"/>
    <w:rsid w:val="00066C0E"/>
    <w:rsid w:val="00072BC8"/>
    <w:rsid w:val="00086C7A"/>
    <w:rsid w:val="00087FDB"/>
    <w:rsid w:val="00090C88"/>
    <w:rsid w:val="00096ED4"/>
    <w:rsid w:val="000A2600"/>
    <w:rsid w:val="000D59D5"/>
    <w:rsid w:val="000E295A"/>
    <w:rsid w:val="000E4DE7"/>
    <w:rsid w:val="000E7875"/>
    <w:rsid w:val="000E7C12"/>
    <w:rsid w:val="000E7D96"/>
    <w:rsid w:val="000F10F8"/>
    <w:rsid w:val="00103CA8"/>
    <w:rsid w:val="00113F3E"/>
    <w:rsid w:val="0011687F"/>
    <w:rsid w:val="0011704C"/>
    <w:rsid w:val="00127C53"/>
    <w:rsid w:val="001335C2"/>
    <w:rsid w:val="0014167A"/>
    <w:rsid w:val="00143240"/>
    <w:rsid w:val="001529C1"/>
    <w:rsid w:val="00153646"/>
    <w:rsid w:val="001657C4"/>
    <w:rsid w:val="00166568"/>
    <w:rsid w:val="001773A1"/>
    <w:rsid w:val="00177810"/>
    <w:rsid w:val="0018359C"/>
    <w:rsid w:val="00186304"/>
    <w:rsid w:val="001874AA"/>
    <w:rsid w:val="00194F9D"/>
    <w:rsid w:val="001976D3"/>
    <w:rsid w:val="00197FBB"/>
    <w:rsid w:val="001A1F47"/>
    <w:rsid w:val="001A6A4C"/>
    <w:rsid w:val="001B16C7"/>
    <w:rsid w:val="001B1959"/>
    <w:rsid w:val="001B4760"/>
    <w:rsid w:val="001B7CEF"/>
    <w:rsid w:val="001C5824"/>
    <w:rsid w:val="001D1126"/>
    <w:rsid w:val="001E273C"/>
    <w:rsid w:val="001F28EC"/>
    <w:rsid w:val="001F5BA2"/>
    <w:rsid w:val="0021052D"/>
    <w:rsid w:val="00215C0C"/>
    <w:rsid w:val="00215F58"/>
    <w:rsid w:val="00216736"/>
    <w:rsid w:val="00230CDC"/>
    <w:rsid w:val="00234D98"/>
    <w:rsid w:val="0023723E"/>
    <w:rsid w:val="00241B62"/>
    <w:rsid w:val="00245760"/>
    <w:rsid w:val="00252919"/>
    <w:rsid w:val="0025653F"/>
    <w:rsid w:val="002567F5"/>
    <w:rsid w:val="0026449B"/>
    <w:rsid w:val="0027595F"/>
    <w:rsid w:val="002766F0"/>
    <w:rsid w:val="002811E8"/>
    <w:rsid w:val="00281AC6"/>
    <w:rsid w:val="00281EC5"/>
    <w:rsid w:val="00285FC8"/>
    <w:rsid w:val="0029290C"/>
    <w:rsid w:val="0029715B"/>
    <w:rsid w:val="002A13D7"/>
    <w:rsid w:val="002A18F1"/>
    <w:rsid w:val="002A4174"/>
    <w:rsid w:val="002B0058"/>
    <w:rsid w:val="002C15B0"/>
    <w:rsid w:val="002C2F53"/>
    <w:rsid w:val="002C4655"/>
    <w:rsid w:val="002C51DD"/>
    <w:rsid w:val="002C7C5A"/>
    <w:rsid w:val="002D2890"/>
    <w:rsid w:val="002E4E03"/>
    <w:rsid w:val="002E52C6"/>
    <w:rsid w:val="002F4835"/>
    <w:rsid w:val="002F594B"/>
    <w:rsid w:val="00300A6E"/>
    <w:rsid w:val="00305F11"/>
    <w:rsid w:val="00315B38"/>
    <w:rsid w:val="00321725"/>
    <w:rsid w:val="00323281"/>
    <w:rsid w:val="00326FAC"/>
    <w:rsid w:val="003357C7"/>
    <w:rsid w:val="0034231A"/>
    <w:rsid w:val="00347E22"/>
    <w:rsid w:val="00352837"/>
    <w:rsid w:val="00354BA6"/>
    <w:rsid w:val="0036539D"/>
    <w:rsid w:val="00365D51"/>
    <w:rsid w:val="00370C43"/>
    <w:rsid w:val="00383BB8"/>
    <w:rsid w:val="003917CB"/>
    <w:rsid w:val="003A1A80"/>
    <w:rsid w:val="003A4DDC"/>
    <w:rsid w:val="003B1195"/>
    <w:rsid w:val="003B37CF"/>
    <w:rsid w:val="003B4588"/>
    <w:rsid w:val="003C6931"/>
    <w:rsid w:val="003D05BB"/>
    <w:rsid w:val="003D48D0"/>
    <w:rsid w:val="003E6445"/>
    <w:rsid w:val="003F2ECB"/>
    <w:rsid w:val="00401D91"/>
    <w:rsid w:val="00404131"/>
    <w:rsid w:val="00404A35"/>
    <w:rsid w:val="004067F1"/>
    <w:rsid w:val="00406D3B"/>
    <w:rsid w:val="004076A4"/>
    <w:rsid w:val="004105ED"/>
    <w:rsid w:val="0041115F"/>
    <w:rsid w:val="00411AC2"/>
    <w:rsid w:val="004142A5"/>
    <w:rsid w:val="00421693"/>
    <w:rsid w:val="004229E0"/>
    <w:rsid w:val="004249C3"/>
    <w:rsid w:val="0044267C"/>
    <w:rsid w:val="004427C3"/>
    <w:rsid w:val="00450900"/>
    <w:rsid w:val="00450B36"/>
    <w:rsid w:val="004542CA"/>
    <w:rsid w:val="00454507"/>
    <w:rsid w:val="00466FBA"/>
    <w:rsid w:val="00482D26"/>
    <w:rsid w:val="00484B6E"/>
    <w:rsid w:val="00490AE0"/>
    <w:rsid w:val="00494540"/>
    <w:rsid w:val="004A3735"/>
    <w:rsid w:val="004B029C"/>
    <w:rsid w:val="004B300B"/>
    <w:rsid w:val="004B428C"/>
    <w:rsid w:val="004B5936"/>
    <w:rsid w:val="004B616F"/>
    <w:rsid w:val="004C08A0"/>
    <w:rsid w:val="004C7C85"/>
    <w:rsid w:val="004D3F10"/>
    <w:rsid w:val="004E7F36"/>
    <w:rsid w:val="00500188"/>
    <w:rsid w:val="00510569"/>
    <w:rsid w:val="00515600"/>
    <w:rsid w:val="005263AA"/>
    <w:rsid w:val="00535A2E"/>
    <w:rsid w:val="005639E0"/>
    <w:rsid w:val="00567C4E"/>
    <w:rsid w:val="005702EE"/>
    <w:rsid w:val="005704FA"/>
    <w:rsid w:val="00572F94"/>
    <w:rsid w:val="0057400F"/>
    <w:rsid w:val="00582835"/>
    <w:rsid w:val="005871C8"/>
    <w:rsid w:val="005878DE"/>
    <w:rsid w:val="00596D2D"/>
    <w:rsid w:val="00596D87"/>
    <w:rsid w:val="005A6387"/>
    <w:rsid w:val="005B3A56"/>
    <w:rsid w:val="005B61A9"/>
    <w:rsid w:val="005B7567"/>
    <w:rsid w:val="005C2B03"/>
    <w:rsid w:val="005C407F"/>
    <w:rsid w:val="005D2BB3"/>
    <w:rsid w:val="005D409C"/>
    <w:rsid w:val="005D40D0"/>
    <w:rsid w:val="005D75E4"/>
    <w:rsid w:val="005E5603"/>
    <w:rsid w:val="005E724F"/>
    <w:rsid w:val="00602E8C"/>
    <w:rsid w:val="00605387"/>
    <w:rsid w:val="00610574"/>
    <w:rsid w:val="006114E7"/>
    <w:rsid w:val="00622C23"/>
    <w:rsid w:val="00627067"/>
    <w:rsid w:val="006274D9"/>
    <w:rsid w:val="0063511D"/>
    <w:rsid w:val="00635E22"/>
    <w:rsid w:val="00637D9F"/>
    <w:rsid w:val="00640B28"/>
    <w:rsid w:val="00641A1D"/>
    <w:rsid w:val="00641F93"/>
    <w:rsid w:val="006529D9"/>
    <w:rsid w:val="00655B48"/>
    <w:rsid w:val="00672500"/>
    <w:rsid w:val="0067368B"/>
    <w:rsid w:val="00684719"/>
    <w:rsid w:val="006852E2"/>
    <w:rsid w:val="006927AF"/>
    <w:rsid w:val="006939A1"/>
    <w:rsid w:val="00695B2C"/>
    <w:rsid w:val="006A12A1"/>
    <w:rsid w:val="006A186A"/>
    <w:rsid w:val="006A2499"/>
    <w:rsid w:val="006A4FEC"/>
    <w:rsid w:val="006A5B58"/>
    <w:rsid w:val="006A6493"/>
    <w:rsid w:val="006B2460"/>
    <w:rsid w:val="006B26C0"/>
    <w:rsid w:val="006B49E1"/>
    <w:rsid w:val="006C7495"/>
    <w:rsid w:val="006D4EA7"/>
    <w:rsid w:val="006D74D1"/>
    <w:rsid w:val="006E3DDA"/>
    <w:rsid w:val="006F330E"/>
    <w:rsid w:val="006F7513"/>
    <w:rsid w:val="00700BF8"/>
    <w:rsid w:val="007019BD"/>
    <w:rsid w:val="00707E22"/>
    <w:rsid w:val="00715AEE"/>
    <w:rsid w:val="00716A3B"/>
    <w:rsid w:val="007224BD"/>
    <w:rsid w:val="00723E45"/>
    <w:rsid w:val="007326C7"/>
    <w:rsid w:val="00736A60"/>
    <w:rsid w:val="00742EFC"/>
    <w:rsid w:val="007457AF"/>
    <w:rsid w:val="007544F9"/>
    <w:rsid w:val="00761219"/>
    <w:rsid w:val="00764B35"/>
    <w:rsid w:val="00771AC5"/>
    <w:rsid w:val="007721D3"/>
    <w:rsid w:val="00773B7E"/>
    <w:rsid w:val="00782712"/>
    <w:rsid w:val="00783D99"/>
    <w:rsid w:val="00784AE4"/>
    <w:rsid w:val="007857D1"/>
    <w:rsid w:val="007870C9"/>
    <w:rsid w:val="007A35A8"/>
    <w:rsid w:val="007A3973"/>
    <w:rsid w:val="007A459D"/>
    <w:rsid w:val="007C252B"/>
    <w:rsid w:val="007C5294"/>
    <w:rsid w:val="007D533D"/>
    <w:rsid w:val="007E0296"/>
    <w:rsid w:val="007F21B8"/>
    <w:rsid w:val="007F4D08"/>
    <w:rsid w:val="007F5211"/>
    <w:rsid w:val="007F6765"/>
    <w:rsid w:val="007F7F4C"/>
    <w:rsid w:val="007F7F9B"/>
    <w:rsid w:val="008012A8"/>
    <w:rsid w:val="008019A3"/>
    <w:rsid w:val="0080388A"/>
    <w:rsid w:val="008064A3"/>
    <w:rsid w:val="0082251D"/>
    <w:rsid w:val="0082276A"/>
    <w:rsid w:val="00823B5D"/>
    <w:rsid w:val="00824305"/>
    <w:rsid w:val="00827137"/>
    <w:rsid w:val="00827E17"/>
    <w:rsid w:val="00831A9F"/>
    <w:rsid w:val="0083343B"/>
    <w:rsid w:val="00836862"/>
    <w:rsid w:val="008374A9"/>
    <w:rsid w:val="0083769A"/>
    <w:rsid w:val="008418DB"/>
    <w:rsid w:val="00847BE5"/>
    <w:rsid w:val="008505D8"/>
    <w:rsid w:val="00850749"/>
    <w:rsid w:val="00862D98"/>
    <w:rsid w:val="00867480"/>
    <w:rsid w:val="00867763"/>
    <w:rsid w:val="0087263B"/>
    <w:rsid w:val="0088297F"/>
    <w:rsid w:val="00882D41"/>
    <w:rsid w:val="008854DD"/>
    <w:rsid w:val="0088675E"/>
    <w:rsid w:val="008937D3"/>
    <w:rsid w:val="00895290"/>
    <w:rsid w:val="008A67CF"/>
    <w:rsid w:val="008B1AF3"/>
    <w:rsid w:val="008B4255"/>
    <w:rsid w:val="008C097E"/>
    <w:rsid w:val="008C43DB"/>
    <w:rsid w:val="008C5136"/>
    <w:rsid w:val="008C643E"/>
    <w:rsid w:val="008D1DA3"/>
    <w:rsid w:val="008D3FD8"/>
    <w:rsid w:val="008D6176"/>
    <w:rsid w:val="008D6A35"/>
    <w:rsid w:val="008D7C0D"/>
    <w:rsid w:val="008E14C1"/>
    <w:rsid w:val="008F6A16"/>
    <w:rsid w:val="008F7581"/>
    <w:rsid w:val="0091713B"/>
    <w:rsid w:val="00920723"/>
    <w:rsid w:val="0092112A"/>
    <w:rsid w:val="00921B77"/>
    <w:rsid w:val="00922473"/>
    <w:rsid w:val="00930900"/>
    <w:rsid w:val="0093171D"/>
    <w:rsid w:val="0093722E"/>
    <w:rsid w:val="0094127A"/>
    <w:rsid w:val="00945D34"/>
    <w:rsid w:val="00953201"/>
    <w:rsid w:val="00953220"/>
    <w:rsid w:val="009641B9"/>
    <w:rsid w:val="00970383"/>
    <w:rsid w:val="009713D2"/>
    <w:rsid w:val="00971C3E"/>
    <w:rsid w:val="009A467A"/>
    <w:rsid w:val="009A574C"/>
    <w:rsid w:val="009B2E51"/>
    <w:rsid w:val="009C1FFC"/>
    <w:rsid w:val="009C7A85"/>
    <w:rsid w:val="009D3C79"/>
    <w:rsid w:val="009D3E31"/>
    <w:rsid w:val="009D7910"/>
    <w:rsid w:val="009E35EE"/>
    <w:rsid w:val="009E4B6B"/>
    <w:rsid w:val="009E6531"/>
    <w:rsid w:val="009F23BF"/>
    <w:rsid w:val="009F4494"/>
    <w:rsid w:val="009F5C53"/>
    <w:rsid w:val="009F7054"/>
    <w:rsid w:val="00A056E8"/>
    <w:rsid w:val="00A11D93"/>
    <w:rsid w:val="00A14D3B"/>
    <w:rsid w:val="00A213F4"/>
    <w:rsid w:val="00A42F27"/>
    <w:rsid w:val="00A43EB2"/>
    <w:rsid w:val="00A50816"/>
    <w:rsid w:val="00A62E5B"/>
    <w:rsid w:val="00A671F8"/>
    <w:rsid w:val="00A73106"/>
    <w:rsid w:val="00A80BCC"/>
    <w:rsid w:val="00A81A92"/>
    <w:rsid w:val="00A85B15"/>
    <w:rsid w:val="00A85D08"/>
    <w:rsid w:val="00A9003F"/>
    <w:rsid w:val="00A926A1"/>
    <w:rsid w:val="00A92979"/>
    <w:rsid w:val="00A9328C"/>
    <w:rsid w:val="00A947FC"/>
    <w:rsid w:val="00AA7A2B"/>
    <w:rsid w:val="00AB5693"/>
    <w:rsid w:val="00AB7E14"/>
    <w:rsid w:val="00AD5E4D"/>
    <w:rsid w:val="00AD7642"/>
    <w:rsid w:val="00AE3142"/>
    <w:rsid w:val="00AE4D64"/>
    <w:rsid w:val="00AF5FFD"/>
    <w:rsid w:val="00AF61B2"/>
    <w:rsid w:val="00B067F6"/>
    <w:rsid w:val="00B1362D"/>
    <w:rsid w:val="00B137AE"/>
    <w:rsid w:val="00B1526A"/>
    <w:rsid w:val="00B15FEA"/>
    <w:rsid w:val="00B1755C"/>
    <w:rsid w:val="00B263E3"/>
    <w:rsid w:val="00B334E7"/>
    <w:rsid w:val="00B34DD7"/>
    <w:rsid w:val="00B40A29"/>
    <w:rsid w:val="00B4160C"/>
    <w:rsid w:val="00B46263"/>
    <w:rsid w:val="00B51F1B"/>
    <w:rsid w:val="00B52E71"/>
    <w:rsid w:val="00B5394D"/>
    <w:rsid w:val="00B566BC"/>
    <w:rsid w:val="00B67158"/>
    <w:rsid w:val="00B7605B"/>
    <w:rsid w:val="00B83B9C"/>
    <w:rsid w:val="00B90EFF"/>
    <w:rsid w:val="00B91C4A"/>
    <w:rsid w:val="00BA0E71"/>
    <w:rsid w:val="00BA135E"/>
    <w:rsid w:val="00BA2C69"/>
    <w:rsid w:val="00BE7DF3"/>
    <w:rsid w:val="00BF3258"/>
    <w:rsid w:val="00C02463"/>
    <w:rsid w:val="00C13BBD"/>
    <w:rsid w:val="00C16696"/>
    <w:rsid w:val="00C22828"/>
    <w:rsid w:val="00C235B7"/>
    <w:rsid w:val="00C30782"/>
    <w:rsid w:val="00C3146E"/>
    <w:rsid w:val="00C328C1"/>
    <w:rsid w:val="00C36280"/>
    <w:rsid w:val="00C549E7"/>
    <w:rsid w:val="00C61EB7"/>
    <w:rsid w:val="00C622A0"/>
    <w:rsid w:val="00C705D2"/>
    <w:rsid w:val="00C70975"/>
    <w:rsid w:val="00C7753D"/>
    <w:rsid w:val="00C8541C"/>
    <w:rsid w:val="00C85E60"/>
    <w:rsid w:val="00CA4487"/>
    <w:rsid w:val="00CA5967"/>
    <w:rsid w:val="00CB4356"/>
    <w:rsid w:val="00CB659E"/>
    <w:rsid w:val="00CC282E"/>
    <w:rsid w:val="00CD13E5"/>
    <w:rsid w:val="00CD4A85"/>
    <w:rsid w:val="00CD763F"/>
    <w:rsid w:val="00CE2948"/>
    <w:rsid w:val="00CE4D99"/>
    <w:rsid w:val="00CE4E90"/>
    <w:rsid w:val="00CF0A70"/>
    <w:rsid w:val="00CF69E9"/>
    <w:rsid w:val="00D15DA4"/>
    <w:rsid w:val="00D35CDC"/>
    <w:rsid w:val="00D4321B"/>
    <w:rsid w:val="00D46A0D"/>
    <w:rsid w:val="00D57689"/>
    <w:rsid w:val="00D579E4"/>
    <w:rsid w:val="00D631FF"/>
    <w:rsid w:val="00D710CF"/>
    <w:rsid w:val="00D773B9"/>
    <w:rsid w:val="00D81C4E"/>
    <w:rsid w:val="00D948F4"/>
    <w:rsid w:val="00DA198B"/>
    <w:rsid w:val="00DA4C74"/>
    <w:rsid w:val="00DB1425"/>
    <w:rsid w:val="00DB3AA8"/>
    <w:rsid w:val="00DB6316"/>
    <w:rsid w:val="00DC272C"/>
    <w:rsid w:val="00DC38CE"/>
    <w:rsid w:val="00DC7AE0"/>
    <w:rsid w:val="00DD17A5"/>
    <w:rsid w:val="00DD2073"/>
    <w:rsid w:val="00DD51C6"/>
    <w:rsid w:val="00DD5841"/>
    <w:rsid w:val="00DD5E68"/>
    <w:rsid w:val="00DD7E3D"/>
    <w:rsid w:val="00DE3644"/>
    <w:rsid w:val="00E12513"/>
    <w:rsid w:val="00E160DA"/>
    <w:rsid w:val="00E26F30"/>
    <w:rsid w:val="00E31FD3"/>
    <w:rsid w:val="00E322CE"/>
    <w:rsid w:val="00E363F2"/>
    <w:rsid w:val="00E377B6"/>
    <w:rsid w:val="00E46373"/>
    <w:rsid w:val="00E4696F"/>
    <w:rsid w:val="00E5550A"/>
    <w:rsid w:val="00E55C72"/>
    <w:rsid w:val="00E564C5"/>
    <w:rsid w:val="00E57CA4"/>
    <w:rsid w:val="00E62785"/>
    <w:rsid w:val="00E64C4B"/>
    <w:rsid w:val="00E66B68"/>
    <w:rsid w:val="00E66CF3"/>
    <w:rsid w:val="00E675FA"/>
    <w:rsid w:val="00E81461"/>
    <w:rsid w:val="00E8180B"/>
    <w:rsid w:val="00E83DDF"/>
    <w:rsid w:val="00E87CB9"/>
    <w:rsid w:val="00E94693"/>
    <w:rsid w:val="00E96C35"/>
    <w:rsid w:val="00EA426F"/>
    <w:rsid w:val="00EC2A45"/>
    <w:rsid w:val="00EC70CF"/>
    <w:rsid w:val="00ED1610"/>
    <w:rsid w:val="00ED3A54"/>
    <w:rsid w:val="00ED5369"/>
    <w:rsid w:val="00ED78B0"/>
    <w:rsid w:val="00EE13A5"/>
    <w:rsid w:val="00EE20A6"/>
    <w:rsid w:val="00EE77DB"/>
    <w:rsid w:val="00EF5924"/>
    <w:rsid w:val="00EF76E9"/>
    <w:rsid w:val="00F005ED"/>
    <w:rsid w:val="00F1585E"/>
    <w:rsid w:val="00F15FF4"/>
    <w:rsid w:val="00F20289"/>
    <w:rsid w:val="00F22B06"/>
    <w:rsid w:val="00F235CD"/>
    <w:rsid w:val="00F241D0"/>
    <w:rsid w:val="00F26BF0"/>
    <w:rsid w:val="00F27763"/>
    <w:rsid w:val="00F3287D"/>
    <w:rsid w:val="00F3521A"/>
    <w:rsid w:val="00F37A6B"/>
    <w:rsid w:val="00F43A8F"/>
    <w:rsid w:val="00F45F4E"/>
    <w:rsid w:val="00F5027F"/>
    <w:rsid w:val="00F536BD"/>
    <w:rsid w:val="00F64627"/>
    <w:rsid w:val="00F64D73"/>
    <w:rsid w:val="00F65F73"/>
    <w:rsid w:val="00F70DEE"/>
    <w:rsid w:val="00F92FC0"/>
    <w:rsid w:val="00F9362B"/>
    <w:rsid w:val="00F972F4"/>
    <w:rsid w:val="00FA390E"/>
    <w:rsid w:val="00FA4891"/>
    <w:rsid w:val="00FB393A"/>
    <w:rsid w:val="00FB3AEA"/>
    <w:rsid w:val="00FB7E3F"/>
    <w:rsid w:val="00FC4E3D"/>
    <w:rsid w:val="00FD161D"/>
    <w:rsid w:val="00FD1AC5"/>
    <w:rsid w:val="00FD24B3"/>
    <w:rsid w:val="00FD458E"/>
    <w:rsid w:val="00FD7824"/>
    <w:rsid w:val="00FE19C0"/>
    <w:rsid w:val="00FF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semiHidden/>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57766933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780B-DE9E-4891-A1B6-0C0C0224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8</cp:revision>
  <cp:lastPrinted>2019-10-21T21:05:00Z</cp:lastPrinted>
  <dcterms:created xsi:type="dcterms:W3CDTF">2019-10-09T00:06:00Z</dcterms:created>
  <dcterms:modified xsi:type="dcterms:W3CDTF">2019-10-22T22:12:00Z</dcterms:modified>
</cp:coreProperties>
</file>