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2324CA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8</w:t>
      </w:r>
      <w:r w:rsidR="002B4CC3">
        <w:rPr>
          <w:sz w:val="22"/>
          <w:szCs w:val="22"/>
        </w:rPr>
        <w:t>, 2020</w:t>
      </w:r>
      <w:r w:rsidR="00765575">
        <w:rPr>
          <w:sz w:val="22"/>
          <w:szCs w:val="22"/>
        </w:rPr>
        <w:t xml:space="preserve"> Minutes </w:t>
      </w:r>
      <w:bookmarkStart w:id="0" w:name="_GoBack"/>
      <w:bookmarkEnd w:id="0"/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420EEF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D75D03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420EE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E9562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1B6EC0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373A80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EB1CB8">
        <w:rPr>
          <w:rFonts w:asciiTheme="majorHAnsi" w:hAnsiTheme="majorHAnsi" w:cstheme="minorHAnsi"/>
          <w:sz w:val="18"/>
          <w:u w:val="none"/>
        </w:rPr>
        <w:t xml:space="preserve">Om </w:t>
      </w:r>
      <w:proofErr w:type="spellStart"/>
      <w:r w:rsidR="00EB1CB8">
        <w:rPr>
          <w:rFonts w:asciiTheme="majorHAnsi" w:hAnsiTheme="majorHAnsi" w:cstheme="minorHAnsi"/>
          <w:sz w:val="18"/>
          <w:u w:val="none"/>
        </w:rPr>
        <w:t>Tripathy</w:t>
      </w:r>
      <w:proofErr w:type="spellEnd"/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373A80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2324CA" w:rsidP="002350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9, 2020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291A6A" w:rsidRPr="00A71D84" w:rsidRDefault="00373A80" w:rsidP="00373A8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095789" w:rsidRDefault="00D77C28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26, 2020</w:t>
            </w:r>
          </w:p>
          <w:p w:rsidR="00D77C28" w:rsidRPr="00095789" w:rsidRDefault="00D77C28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9,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C04A9" w:rsidRPr="005C04A9" w:rsidRDefault="005C04A9" w:rsidP="0023500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511467" w:rsidRPr="00EF462D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A3611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EF4FA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4771A0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D1A79" w:rsidRDefault="004771A0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C36EFB" w:rsidRPr="007D1A79" w:rsidRDefault="00C36EFB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7D1A79">
              <w:rPr>
                <w:rFonts w:ascii="Calibri" w:hAnsi="Calibri" w:cs="Calibri"/>
                <w:szCs w:val="20"/>
              </w:rPr>
              <w:t>None</w:t>
            </w:r>
          </w:p>
          <w:p w:rsidR="0038525F" w:rsidRPr="00EF462D" w:rsidRDefault="003B0F5B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Pr="00C36EFB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23500B" w:rsidRDefault="002B4CC3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VSPK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VESL Speaking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VWRT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VESL Writing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CT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Contact T</w:t>
            </w:r>
            <w:r w:rsidR="00081AAB">
              <w:rPr>
                <w:rFonts w:asciiTheme="majorHAnsi" w:hAnsiTheme="majorHAnsi" w:cstheme="majorHAnsi"/>
                <w:sz w:val="20"/>
                <w:szCs w:val="20"/>
              </w:rPr>
              <w:t>racer</w:t>
            </w:r>
          </w:p>
          <w:p w:rsidR="00A40986" w:rsidRPr="008F5252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FAB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General Fabrication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Default="00216B0F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8F2D9B" w:rsidRDefault="008F2D9B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2815A2" w:rsidRDefault="002815A2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2815A2" w:rsidRPr="00216B0F" w:rsidRDefault="002815A2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9945A3" w:rsidRDefault="007B2D27" w:rsidP="009945A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9945A3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2324CA" w:rsidRDefault="002324CA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Noncredit Workgroup Recommendations: Correspondence </w:t>
            </w:r>
            <w:r w:rsidR="00D77C28">
              <w:rPr>
                <w:rFonts w:asciiTheme="majorHAnsi" w:hAnsiTheme="majorHAnsi" w:cstheme="majorHAnsi"/>
                <w:szCs w:val="20"/>
              </w:rPr>
              <w:t>E</w:t>
            </w:r>
            <w:r>
              <w:rPr>
                <w:rFonts w:asciiTheme="majorHAnsi" w:hAnsiTheme="majorHAnsi" w:cstheme="majorHAnsi"/>
                <w:szCs w:val="20"/>
              </w:rPr>
              <w:t>ducation</w:t>
            </w:r>
            <w:r w:rsidR="00072610">
              <w:rPr>
                <w:rFonts w:asciiTheme="majorHAnsi" w:hAnsiTheme="majorHAnsi" w:cstheme="majorHAnsi"/>
                <w:szCs w:val="20"/>
              </w:rPr>
              <w:t xml:space="preserve"> – C. Impara</w:t>
            </w:r>
          </w:p>
          <w:p w:rsidR="00926749" w:rsidRDefault="00926749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Creation of Credit Prior Learning Workgroup – K. Allende</w:t>
            </w:r>
          </w:p>
          <w:p w:rsidR="00072610" w:rsidRDefault="00072610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Curriculum Cultural Audit – D. Rowley, K. Allende</w:t>
            </w:r>
          </w:p>
          <w:p w:rsidR="00F529FC" w:rsidRPr="00E53E7B" w:rsidRDefault="00F529FC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Fowler</w:t>
            </w:r>
          </w:p>
          <w:p w:rsidR="00E53E7B" w:rsidRDefault="00E53E7B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– J. Fowler</w:t>
            </w:r>
          </w:p>
          <w:p w:rsidR="00E53E7B" w:rsidRPr="00E53E7B" w:rsidRDefault="00883761" w:rsidP="00E53E7B">
            <w:pPr>
              <w:ind w:left="880"/>
              <w:rPr>
                <w:rFonts w:asciiTheme="majorHAnsi" w:hAnsiTheme="majorHAnsi" w:cstheme="majorHAnsi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Cs w:val="20"/>
                <w:u w:val="none"/>
              </w:rPr>
              <w:t>5</w:t>
            </w:r>
            <w:r w:rsidR="00E53E7B" w:rsidRPr="00E53E7B">
              <w:rPr>
                <w:rFonts w:asciiTheme="majorHAnsi" w:hAnsiTheme="majorHAnsi" w:cstheme="majorHAnsi"/>
                <w:szCs w:val="20"/>
                <w:u w:val="none"/>
              </w:rPr>
              <w:t>a.  AP 4020 Program and curriculum Development – K. Allende</w:t>
            </w:r>
          </w:p>
          <w:p w:rsidR="00E53E7B" w:rsidRPr="00E53E7B" w:rsidRDefault="00E53E7B" w:rsidP="00E53E7B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75AF2" w:rsidRDefault="00A13D12" w:rsidP="0093014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926649">
              <w:rPr>
                <w:rFonts w:ascii="Calibri" w:hAnsi="Calibri" w:cs="Calibri"/>
                <w:szCs w:val="20"/>
              </w:rPr>
              <w:t xml:space="preserve">The DLC requested </w:t>
            </w:r>
            <w:r w:rsidR="00140B68" w:rsidRPr="00926649">
              <w:rPr>
                <w:rFonts w:ascii="Calibri" w:hAnsi="Calibri" w:cs="Calibri"/>
                <w:szCs w:val="20"/>
              </w:rPr>
              <w:t>Carol</w:t>
            </w:r>
            <w:r w:rsidRPr="00926649">
              <w:rPr>
                <w:rFonts w:ascii="Calibri" w:hAnsi="Calibri" w:cs="Calibri"/>
                <w:szCs w:val="20"/>
              </w:rPr>
              <w:t xml:space="preserve"> to form a workforce group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over the summer because non</w:t>
            </w:r>
            <w:r w:rsidRPr="00926649">
              <w:rPr>
                <w:rFonts w:ascii="Calibri" w:hAnsi="Calibri" w:cs="Calibri"/>
                <w:szCs w:val="20"/>
              </w:rPr>
              <w:t>c</w:t>
            </w:r>
            <w:r w:rsidR="00140B68" w:rsidRPr="00926649">
              <w:rPr>
                <w:rFonts w:ascii="Calibri" w:hAnsi="Calibri" w:cs="Calibri"/>
                <w:szCs w:val="20"/>
              </w:rPr>
              <w:t>redit</w:t>
            </w:r>
            <w:r w:rsidRPr="00926649">
              <w:rPr>
                <w:rFonts w:ascii="Calibri" w:hAnsi="Calibri" w:cs="Calibri"/>
                <w:szCs w:val="20"/>
              </w:rPr>
              <w:t xml:space="preserve"> is offering DL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c</w:t>
            </w:r>
            <w:r w:rsidR="00926649" w:rsidRPr="00926649">
              <w:rPr>
                <w:rFonts w:ascii="Calibri" w:hAnsi="Calibri" w:cs="Calibri"/>
                <w:szCs w:val="20"/>
              </w:rPr>
              <w:t>ourses. The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current DL amendment form for cr</w:t>
            </w:r>
            <w:r w:rsidR="00927A03">
              <w:rPr>
                <w:rFonts w:ascii="Calibri" w:hAnsi="Calibri" w:cs="Calibri"/>
                <w:szCs w:val="20"/>
              </w:rPr>
              <w:t xml:space="preserve">edit </w:t>
            </w:r>
            <w:r w:rsidR="00927A03">
              <w:rPr>
                <w:rFonts w:ascii="Calibri" w:hAnsi="Calibri" w:cs="Calibri"/>
                <w:szCs w:val="20"/>
              </w:rPr>
              <w:lastRenderedPageBreak/>
              <w:t xml:space="preserve">courses did work for Short-Term </w:t>
            </w:r>
            <w:r w:rsidR="00140B68" w:rsidRPr="00926649">
              <w:rPr>
                <w:rFonts w:ascii="Calibri" w:hAnsi="Calibri" w:cs="Calibri"/>
                <w:szCs w:val="20"/>
              </w:rPr>
              <w:t>Vocational, ESL, and Older Adults wit</w:t>
            </w:r>
            <w:r w:rsidR="00926649" w:rsidRPr="00926649">
              <w:rPr>
                <w:rFonts w:ascii="Calibri" w:hAnsi="Calibri" w:cs="Calibri"/>
                <w:szCs w:val="20"/>
              </w:rPr>
              <w:t xml:space="preserve">h some modifications and a statement at the bottom of the page for guidance for entering hours differently than </w:t>
            </w:r>
            <w:r w:rsidR="00927A03">
              <w:rPr>
                <w:rFonts w:ascii="Calibri" w:hAnsi="Calibri" w:cs="Calibri"/>
                <w:szCs w:val="20"/>
              </w:rPr>
              <w:t xml:space="preserve">for </w:t>
            </w:r>
            <w:r w:rsidR="00926649" w:rsidRPr="00926649">
              <w:rPr>
                <w:rFonts w:ascii="Calibri" w:hAnsi="Calibri" w:cs="Calibri"/>
                <w:szCs w:val="20"/>
              </w:rPr>
              <w:t xml:space="preserve">credit courses. </w:t>
            </w:r>
          </w:p>
          <w:p w:rsidR="00775AF2" w:rsidRDefault="00775AF2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75AF2" w:rsidRDefault="00926649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  <w:r w:rsidRPr="00926649">
              <w:rPr>
                <w:rFonts w:ascii="Calibri" w:hAnsi="Calibri" w:cs="Calibri"/>
                <w:szCs w:val="20"/>
              </w:rPr>
              <w:t xml:space="preserve">For courses such as Older Adults, an alternate form was created to use for correspondence courses. </w:t>
            </w:r>
            <w:r w:rsidR="00775AF2">
              <w:rPr>
                <w:rFonts w:ascii="Calibri" w:hAnsi="Calibri" w:cs="Calibri"/>
                <w:szCs w:val="20"/>
              </w:rPr>
              <w:t xml:space="preserve">The form is very similar to the current paper DL amendment form. </w:t>
            </w:r>
            <w:r w:rsidRPr="00926649">
              <w:rPr>
                <w:rFonts w:ascii="Calibri" w:hAnsi="Calibri" w:cs="Calibri"/>
                <w:szCs w:val="20"/>
              </w:rPr>
              <w:t>The DLC is questioning whether it is appropriate for the committee to look over these courses since they are consider</w:t>
            </w:r>
            <w:r w:rsidR="00927A03">
              <w:rPr>
                <w:rFonts w:ascii="Calibri" w:hAnsi="Calibri" w:cs="Calibri"/>
                <w:szCs w:val="20"/>
              </w:rPr>
              <w:t>ed</w:t>
            </w:r>
            <w:r w:rsidRPr="00926649">
              <w:rPr>
                <w:rFonts w:ascii="Calibri" w:hAnsi="Calibri" w:cs="Calibri"/>
                <w:szCs w:val="20"/>
              </w:rPr>
              <w:t xml:space="preserve"> correspondence courses and not DL courses.</w:t>
            </w:r>
          </w:p>
          <w:p w:rsidR="00775AF2" w:rsidRDefault="00775AF2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9945A3" w:rsidRDefault="00926649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addition to a report, t</w:t>
            </w:r>
            <w:r w:rsidR="00775AF2">
              <w:rPr>
                <w:rFonts w:ascii="Calibri" w:hAnsi="Calibri" w:cs="Calibri"/>
                <w:szCs w:val="20"/>
              </w:rPr>
              <w:t>he DLC put forward the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775AF2">
              <w:rPr>
                <w:rFonts w:ascii="Calibri" w:hAnsi="Calibri" w:cs="Calibri"/>
                <w:szCs w:val="20"/>
              </w:rPr>
              <w:t xml:space="preserve">new, alternate </w:t>
            </w:r>
            <w:r>
              <w:rPr>
                <w:rFonts w:ascii="Calibri" w:hAnsi="Calibri" w:cs="Calibri"/>
                <w:szCs w:val="20"/>
              </w:rPr>
              <w:t xml:space="preserve">form for this council </w:t>
            </w:r>
            <w:r w:rsidR="00775AF2">
              <w:rPr>
                <w:rFonts w:ascii="Calibri" w:hAnsi="Calibri" w:cs="Calibri"/>
                <w:szCs w:val="20"/>
              </w:rPr>
              <w:t xml:space="preserve">to edit and/or approve. </w:t>
            </w:r>
          </w:p>
          <w:p w:rsidR="00A13D12" w:rsidRPr="009945A3" w:rsidRDefault="009945A3" w:rsidP="00775AF2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9945A3">
              <w:rPr>
                <w:rFonts w:ascii="Calibri" w:hAnsi="Calibri" w:cs="Calibri"/>
                <w:b/>
                <w:szCs w:val="20"/>
              </w:rPr>
              <w:t>This council a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>pproved</w:t>
            </w:r>
            <w:r>
              <w:rPr>
                <w:rFonts w:ascii="Calibri" w:hAnsi="Calibri" w:cs="Calibri"/>
                <w:b/>
                <w:szCs w:val="20"/>
              </w:rPr>
              <w:t xml:space="preserve"> it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 xml:space="preserve"> and recommended to move </w:t>
            </w:r>
            <w:r w:rsidRPr="009945A3">
              <w:rPr>
                <w:rFonts w:ascii="Calibri" w:hAnsi="Calibri" w:cs="Calibri"/>
                <w:b/>
                <w:szCs w:val="20"/>
              </w:rPr>
              <w:t>it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 xml:space="preserve"> to Senate.</w:t>
            </w:r>
          </w:p>
          <w:p w:rsidR="00926749" w:rsidRPr="00193215" w:rsidRDefault="00193215" w:rsidP="0019321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93215">
              <w:rPr>
                <w:rFonts w:ascii="Calibri" w:hAnsi="Calibri" w:cs="Calibri"/>
                <w:szCs w:val="20"/>
              </w:rPr>
              <w:t xml:space="preserve">Chancellor’s give the college </w:t>
            </w:r>
            <w:r w:rsidR="00170EC6">
              <w:rPr>
                <w:rFonts w:ascii="Calibri" w:hAnsi="Calibri" w:cs="Calibri"/>
                <w:szCs w:val="20"/>
              </w:rPr>
              <w:t>un</w:t>
            </w:r>
            <w:r w:rsidRPr="00193215">
              <w:rPr>
                <w:rFonts w:ascii="Calibri" w:hAnsi="Calibri" w:cs="Calibri"/>
                <w:szCs w:val="20"/>
              </w:rPr>
              <w:t xml:space="preserve">til </w:t>
            </w:r>
            <w:r w:rsidR="00170EC6">
              <w:rPr>
                <w:rFonts w:ascii="Calibri" w:hAnsi="Calibri" w:cs="Calibri"/>
                <w:szCs w:val="20"/>
              </w:rPr>
              <w:t xml:space="preserve">December </w:t>
            </w:r>
            <w:r w:rsidRPr="00193215">
              <w:rPr>
                <w:rFonts w:ascii="Calibri" w:hAnsi="Calibri" w:cs="Calibri"/>
                <w:szCs w:val="20"/>
              </w:rPr>
              <w:t>31</w:t>
            </w:r>
            <w:r w:rsidR="00170EC6">
              <w:rPr>
                <w:rFonts w:ascii="Calibri" w:hAnsi="Calibri" w:cs="Calibri"/>
                <w:szCs w:val="20"/>
              </w:rPr>
              <w:t>, 2020</w:t>
            </w:r>
            <w:r w:rsidRPr="00193215">
              <w:rPr>
                <w:rFonts w:ascii="Calibri" w:hAnsi="Calibri" w:cs="Calibri"/>
                <w:szCs w:val="20"/>
              </w:rPr>
              <w:t xml:space="preserve"> to create policies and procedures </w:t>
            </w:r>
            <w:r w:rsidR="00170EC6">
              <w:rPr>
                <w:rFonts w:ascii="Calibri" w:hAnsi="Calibri" w:cs="Calibri"/>
                <w:szCs w:val="20"/>
              </w:rPr>
              <w:t xml:space="preserve">that are in line with the definition </w:t>
            </w:r>
            <w:r w:rsidR="00927A03">
              <w:rPr>
                <w:rFonts w:ascii="Calibri" w:hAnsi="Calibri" w:cs="Calibri"/>
                <w:szCs w:val="20"/>
              </w:rPr>
              <w:t xml:space="preserve">of Credit </w:t>
            </w:r>
            <w:r w:rsidR="00170EC6">
              <w:rPr>
                <w:rFonts w:ascii="Calibri" w:hAnsi="Calibri" w:cs="Calibri"/>
                <w:szCs w:val="20"/>
              </w:rPr>
              <w:t>for Prior L</w:t>
            </w:r>
            <w:r w:rsidRPr="00193215">
              <w:rPr>
                <w:rFonts w:ascii="Calibri" w:hAnsi="Calibri" w:cs="Calibri"/>
                <w:szCs w:val="20"/>
              </w:rPr>
              <w:t xml:space="preserve">earning as well as </w:t>
            </w:r>
            <w:r w:rsidR="00170EC6">
              <w:rPr>
                <w:rFonts w:ascii="Calibri" w:hAnsi="Calibri" w:cs="Calibri"/>
                <w:szCs w:val="20"/>
              </w:rPr>
              <w:t xml:space="preserve">with the Title 5 recent amendments. </w:t>
            </w:r>
            <w:r w:rsidR="00D66B39" w:rsidRPr="00193215">
              <w:rPr>
                <w:rFonts w:ascii="Calibri" w:hAnsi="Calibri" w:cs="Calibri"/>
                <w:szCs w:val="20"/>
              </w:rPr>
              <w:t>Therefore</w:t>
            </w:r>
            <w:r w:rsidR="00170EC6">
              <w:rPr>
                <w:rFonts w:ascii="Calibri" w:hAnsi="Calibri" w:cs="Calibri"/>
                <w:szCs w:val="20"/>
              </w:rPr>
              <w:t>,</w:t>
            </w:r>
            <w:r w:rsidRPr="00193215">
              <w:rPr>
                <w:rFonts w:ascii="Calibri" w:hAnsi="Calibri" w:cs="Calibri"/>
                <w:szCs w:val="20"/>
              </w:rPr>
              <w:t xml:space="preserve"> a workgroup</w:t>
            </w:r>
            <w:r w:rsidR="00170EC6">
              <w:rPr>
                <w:rFonts w:ascii="Calibri" w:hAnsi="Calibri" w:cs="Calibri"/>
                <w:szCs w:val="20"/>
              </w:rPr>
              <w:t xml:space="preserve"> or a subgroup of this council </w:t>
            </w:r>
            <w:r w:rsidRPr="00193215">
              <w:rPr>
                <w:rFonts w:ascii="Calibri" w:hAnsi="Calibri" w:cs="Calibri"/>
                <w:szCs w:val="20"/>
              </w:rPr>
              <w:t>should be form</w:t>
            </w:r>
            <w:r w:rsidR="00927A03">
              <w:rPr>
                <w:rFonts w:ascii="Calibri" w:hAnsi="Calibri" w:cs="Calibri"/>
                <w:szCs w:val="20"/>
              </w:rPr>
              <w:t>ed</w:t>
            </w:r>
            <w:r w:rsidRPr="00193215">
              <w:rPr>
                <w:rFonts w:ascii="Calibri" w:hAnsi="Calibri" w:cs="Calibri"/>
                <w:szCs w:val="20"/>
              </w:rPr>
              <w:t xml:space="preserve"> </w:t>
            </w:r>
            <w:r w:rsidR="00170EC6">
              <w:rPr>
                <w:rFonts w:ascii="Calibri" w:hAnsi="Calibri" w:cs="Calibri"/>
                <w:szCs w:val="20"/>
              </w:rPr>
              <w:t>t</w:t>
            </w:r>
            <w:r w:rsidRPr="00193215">
              <w:rPr>
                <w:rFonts w:ascii="Calibri" w:hAnsi="Calibri" w:cs="Calibri"/>
                <w:szCs w:val="20"/>
              </w:rPr>
              <w:t xml:space="preserve">o </w:t>
            </w:r>
            <w:r w:rsidR="00170EC6">
              <w:rPr>
                <w:rFonts w:ascii="Calibri" w:hAnsi="Calibri" w:cs="Calibri"/>
                <w:szCs w:val="20"/>
              </w:rPr>
              <w:t xml:space="preserve">discuss our current </w:t>
            </w:r>
            <w:r w:rsidR="00D66B39">
              <w:rPr>
                <w:rFonts w:ascii="Calibri" w:hAnsi="Calibri" w:cs="Calibri"/>
                <w:szCs w:val="20"/>
              </w:rPr>
              <w:t>AP, which already addresses some of the requests,</w:t>
            </w:r>
            <w:r w:rsidR="00170EC6">
              <w:rPr>
                <w:rFonts w:ascii="Calibri" w:hAnsi="Calibri" w:cs="Calibri"/>
                <w:szCs w:val="20"/>
              </w:rPr>
              <w:t xml:space="preserve"> and consider needed changes to it in order to </w:t>
            </w:r>
            <w:r w:rsidRPr="00193215">
              <w:rPr>
                <w:rFonts w:ascii="Calibri" w:hAnsi="Calibri" w:cs="Calibri"/>
                <w:szCs w:val="20"/>
              </w:rPr>
              <w:t>get this docu</w:t>
            </w:r>
            <w:r w:rsidR="00170EC6">
              <w:rPr>
                <w:rFonts w:ascii="Calibri" w:hAnsi="Calibri" w:cs="Calibri"/>
                <w:szCs w:val="20"/>
              </w:rPr>
              <w:t>ment</w:t>
            </w:r>
            <w:r w:rsidRPr="00193215">
              <w:rPr>
                <w:rFonts w:ascii="Calibri" w:hAnsi="Calibri" w:cs="Calibri"/>
                <w:szCs w:val="20"/>
              </w:rPr>
              <w:t xml:space="preserve"> ready and meet the deadline.</w:t>
            </w:r>
          </w:p>
          <w:p w:rsidR="00193215" w:rsidRPr="00A90B4E" w:rsidRDefault="00D66B39" w:rsidP="00193215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A90B4E">
              <w:rPr>
                <w:rFonts w:ascii="Calibri" w:hAnsi="Calibri" w:cs="Calibri"/>
                <w:b/>
                <w:szCs w:val="20"/>
              </w:rPr>
              <w:t xml:space="preserve">The group reviewing the AP consists of </w:t>
            </w:r>
            <w:r w:rsidR="00E9562A" w:rsidRPr="00A90B4E">
              <w:rPr>
                <w:rFonts w:ascii="Calibri" w:hAnsi="Calibri" w:cs="Calibri"/>
                <w:b/>
                <w:szCs w:val="20"/>
              </w:rPr>
              <w:t xml:space="preserve">Joumana, Dianne, Kristina, Michelle, Jamaika, George, </w:t>
            </w:r>
            <w:r w:rsidRPr="00A90B4E">
              <w:rPr>
                <w:rFonts w:ascii="Calibri" w:hAnsi="Calibri" w:cs="Calibri"/>
                <w:b/>
                <w:szCs w:val="20"/>
              </w:rPr>
              <w:t xml:space="preserve">and </w:t>
            </w:r>
            <w:r w:rsidR="00E9562A" w:rsidRPr="00A90B4E">
              <w:rPr>
                <w:rFonts w:ascii="Calibri" w:hAnsi="Calibri" w:cs="Calibri"/>
                <w:b/>
                <w:szCs w:val="20"/>
              </w:rPr>
              <w:t>Madelyn.</w:t>
            </w:r>
          </w:p>
          <w:p w:rsidR="00837A81" w:rsidRDefault="00837A81" w:rsidP="00CB5B1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a project done by Long Beach City College and presented at the Curriculum Institute.</w:t>
            </w:r>
          </w:p>
          <w:p w:rsidR="003C516A" w:rsidRDefault="00A90B4E" w:rsidP="00837A8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837A81">
              <w:rPr>
                <w:rFonts w:ascii="Calibri" w:hAnsi="Calibri" w:cs="Calibri"/>
                <w:szCs w:val="20"/>
              </w:rPr>
              <w:t>he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3C516A">
              <w:rPr>
                <w:rFonts w:ascii="Calibri" w:hAnsi="Calibri" w:cs="Calibri"/>
                <w:szCs w:val="20"/>
              </w:rPr>
              <w:t>project</w:t>
            </w:r>
            <w:r w:rsidR="00837A81">
              <w:rPr>
                <w:rFonts w:ascii="Calibri" w:hAnsi="Calibri" w:cs="Calibri"/>
                <w:szCs w:val="20"/>
              </w:rPr>
              <w:t xml:space="preserve"> at </w:t>
            </w:r>
            <w:proofErr w:type="spellStart"/>
            <w:r w:rsidR="00837A81">
              <w:rPr>
                <w:rFonts w:ascii="Calibri" w:hAnsi="Calibri" w:cs="Calibri"/>
                <w:szCs w:val="20"/>
              </w:rPr>
              <w:t>Mt.SAC</w:t>
            </w:r>
            <w:proofErr w:type="spellEnd"/>
            <w:r w:rsidR="00CB5B15" w:rsidRPr="00CB5B15">
              <w:rPr>
                <w:rFonts w:ascii="Calibri" w:hAnsi="Calibri" w:cs="Calibri"/>
                <w:szCs w:val="20"/>
              </w:rPr>
              <w:t xml:space="preserve"> </w:t>
            </w:r>
            <w:r w:rsidR="003C516A">
              <w:rPr>
                <w:rFonts w:ascii="Calibri" w:hAnsi="Calibri" w:cs="Calibri"/>
                <w:szCs w:val="20"/>
              </w:rPr>
              <w:t>should focus</w:t>
            </w:r>
            <w:r w:rsidR="00F04E18">
              <w:rPr>
                <w:rFonts w:ascii="Calibri" w:hAnsi="Calibri" w:cs="Calibri"/>
                <w:szCs w:val="20"/>
              </w:rPr>
              <w:t xml:space="preserve"> on </w:t>
            </w:r>
            <w:r w:rsidR="003C516A">
              <w:rPr>
                <w:rFonts w:ascii="Calibri" w:hAnsi="Calibri" w:cs="Calibri"/>
                <w:szCs w:val="20"/>
              </w:rPr>
              <w:t>equity and how curriculum represents</w:t>
            </w:r>
            <w:r w:rsidR="00927A03">
              <w:rPr>
                <w:rFonts w:ascii="Calibri" w:hAnsi="Calibri" w:cs="Calibri"/>
                <w:szCs w:val="20"/>
              </w:rPr>
              <w:t xml:space="preserve"> different groups o</w:t>
            </w:r>
            <w:r w:rsidR="003C516A">
              <w:rPr>
                <w:rFonts w:ascii="Calibri" w:hAnsi="Calibri" w:cs="Calibri"/>
                <w:szCs w:val="20"/>
              </w:rPr>
              <w:t>n campus</w:t>
            </w:r>
            <w:r w:rsidR="00837A81">
              <w:rPr>
                <w:rFonts w:ascii="Calibri" w:hAnsi="Calibri" w:cs="Calibri"/>
                <w:szCs w:val="20"/>
              </w:rPr>
              <w:t>. For example the language in the curriculum, i</w:t>
            </w:r>
            <w:r w:rsidR="003C516A">
              <w:rPr>
                <w:rFonts w:ascii="Calibri" w:hAnsi="Calibri" w:cs="Calibri"/>
                <w:szCs w:val="20"/>
              </w:rPr>
              <w:t xml:space="preserve">s it inclusive? </w:t>
            </w:r>
          </w:p>
          <w:p w:rsidR="00F04E18" w:rsidRDefault="00C96587" w:rsidP="00837A8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analysis should be</w:t>
            </w:r>
            <w:r w:rsidR="00F04E18">
              <w:rPr>
                <w:rFonts w:ascii="Calibri" w:hAnsi="Calibri" w:cs="Calibri"/>
                <w:szCs w:val="20"/>
              </w:rPr>
              <w:t xml:space="preserve"> in terms of Course Outline of Records</w:t>
            </w:r>
            <w:r>
              <w:rPr>
                <w:rFonts w:ascii="Calibri" w:hAnsi="Calibri" w:cs="Calibri"/>
                <w:szCs w:val="20"/>
              </w:rPr>
              <w:t xml:space="preserve"> and how faculty construct their courses. </w:t>
            </w:r>
          </w:p>
          <w:p w:rsidR="00AA54E5" w:rsidRPr="00B2044D" w:rsidRDefault="00837A81" w:rsidP="00B2044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</w:t>
            </w:r>
            <w:r w:rsidR="003C516A">
              <w:rPr>
                <w:rFonts w:ascii="Calibri" w:hAnsi="Calibri" w:cs="Calibri"/>
                <w:szCs w:val="20"/>
              </w:rPr>
              <w:t xml:space="preserve">is Council </w:t>
            </w:r>
            <w:r w:rsidR="00B2044D">
              <w:rPr>
                <w:rFonts w:ascii="Calibri" w:hAnsi="Calibri" w:cs="Calibri"/>
                <w:szCs w:val="20"/>
              </w:rPr>
              <w:t>agreed to</w:t>
            </w:r>
            <w:r w:rsidR="003C516A">
              <w:rPr>
                <w:rFonts w:ascii="Calibri" w:hAnsi="Calibri" w:cs="Calibri"/>
                <w:szCs w:val="20"/>
              </w:rPr>
              <w:t xml:space="preserve"> make a recommendation to the Academic Senate to do a Cultural Audit and analyze what it looks like for </w:t>
            </w:r>
            <w:proofErr w:type="spellStart"/>
            <w:r w:rsidR="003C516A">
              <w:rPr>
                <w:rFonts w:ascii="Calibri" w:hAnsi="Calibri" w:cs="Calibri"/>
                <w:szCs w:val="20"/>
              </w:rPr>
              <w:t>Mt.SAC</w:t>
            </w:r>
            <w:proofErr w:type="spellEnd"/>
            <w:r w:rsidR="003C516A">
              <w:rPr>
                <w:rFonts w:ascii="Calibri" w:hAnsi="Calibri" w:cs="Calibri"/>
                <w:szCs w:val="20"/>
              </w:rPr>
              <w:t>. Since the project involves curriculum it should start with this group and perhaps other people or groups from other areas</w:t>
            </w:r>
            <w:r w:rsidR="00927A03">
              <w:rPr>
                <w:rFonts w:ascii="Calibri" w:hAnsi="Calibri" w:cs="Calibri"/>
                <w:szCs w:val="20"/>
              </w:rPr>
              <w:t xml:space="preserve"> of campus would like to join</w:t>
            </w:r>
            <w:r w:rsidR="003C516A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to </w:t>
            </w:r>
            <w:r w:rsidR="003C516A">
              <w:rPr>
                <w:rFonts w:ascii="Calibri" w:hAnsi="Calibri" w:cs="Calibri"/>
                <w:szCs w:val="20"/>
              </w:rPr>
              <w:t>assure</w:t>
            </w:r>
            <w:r>
              <w:rPr>
                <w:rFonts w:ascii="Calibri" w:hAnsi="Calibri" w:cs="Calibri"/>
                <w:szCs w:val="20"/>
              </w:rPr>
              <w:t xml:space="preserve"> proper</w:t>
            </w:r>
            <w:r w:rsidR="003C516A">
              <w:rPr>
                <w:rFonts w:ascii="Calibri" w:hAnsi="Calibri" w:cs="Calibri"/>
                <w:szCs w:val="20"/>
              </w:rPr>
              <w:t xml:space="preserve"> represen</w:t>
            </w:r>
            <w:r w:rsidR="00B2044D">
              <w:rPr>
                <w:rFonts w:ascii="Calibri" w:hAnsi="Calibri" w:cs="Calibri"/>
                <w:szCs w:val="20"/>
              </w:rPr>
              <w:t xml:space="preserve">tation from all areas of campus.  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There was agreement for collaboration with FPDC and Outcomes. </w:t>
            </w:r>
            <w:proofErr w:type="spellStart"/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>Loni</w:t>
            </w:r>
            <w:proofErr w:type="spellEnd"/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Nguyen said she will take this item to the Outcomes Committee to recommend 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that CORA cohort members are invited to join the initial Curriculum Audit work.</w:t>
            </w:r>
          </w:p>
          <w:p w:rsidR="00CB5B15" w:rsidRDefault="00883761" w:rsidP="00AA54E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su</w:t>
            </w:r>
            <w:r w:rsidR="00AA54E5">
              <w:rPr>
                <w:rFonts w:ascii="Calibri" w:hAnsi="Calibri" w:cs="Calibri"/>
                <w:szCs w:val="20"/>
              </w:rPr>
              <w:t xml:space="preserve">bgroup </w:t>
            </w:r>
            <w:r>
              <w:rPr>
                <w:rFonts w:ascii="Calibri" w:hAnsi="Calibri" w:cs="Calibri"/>
                <w:szCs w:val="20"/>
              </w:rPr>
              <w:t xml:space="preserve">lead </w:t>
            </w:r>
            <w:r w:rsidR="00AA54E5">
              <w:rPr>
                <w:rFonts w:ascii="Calibri" w:hAnsi="Calibri" w:cs="Calibri"/>
                <w:szCs w:val="20"/>
              </w:rPr>
              <w:t xml:space="preserve">by </w:t>
            </w:r>
            <w:r>
              <w:rPr>
                <w:rFonts w:ascii="Calibri" w:hAnsi="Calibri" w:cs="Calibri"/>
                <w:szCs w:val="20"/>
              </w:rPr>
              <w:t xml:space="preserve">Jamaika is still working on this item. </w:t>
            </w:r>
            <w:r w:rsidRPr="00883761">
              <w:rPr>
                <w:rFonts w:ascii="Calibri" w:hAnsi="Calibri" w:cs="Calibri"/>
                <w:b/>
                <w:szCs w:val="20"/>
              </w:rPr>
              <w:t>Keep on agenda.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:rsidR="00883761" w:rsidRDefault="00883761" w:rsidP="0088376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&amp; 5A. Jamaika will share a document with for this group to analyze and consider potential changes.</w:t>
            </w:r>
          </w:p>
          <w:p w:rsidR="00AA54E5" w:rsidRPr="00883761" w:rsidRDefault="00883761" w:rsidP="00AA54E5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883761">
              <w:rPr>
                <w:rFonts w:ascii="Calibri" w:hAnsi="Calibri" w:cs="Calibri"/>
                <w:b/>
                <w:szCs w:val="20"/>
              </w:rPr>
              <w:t>Keep on agenda</w:t>
            </w:r>
            <w:r w:rsidR="00927A03">
              <w:rPr>
                <w:rFonts w:ascii="Calibri" w:hAnsi="Calibri" w:cs="Calibri"/>
                <w:b/>
                <w:szCs w:val="20"/>
              </w:rPr>
              <w:t>.</w:t>
            </w:r>
          </w:p>
          <w:p w:rsidR="00E53E7B" w:rsidRPr="00E53E7B" w:rsidRDefault="00E53E7B" w:rsidP="00E53E7B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:rsidR="00081AAB" w:rsidRPr="00926749" w:rsidRDefault="00081AAB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E53E7B" w:rsidRDefault="007B2D27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6378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1CE23BA"/>
    <w:multiLevelType w:val="hybridMultilevel"/>
    <w:tmpl w:val="2B48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C36"/>
    <w:multiLevelType w:val="hybridMultilevel"/>
    <w:tmpl w:val="CAB4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7FBD"/>
    <w:multiLevelType w:val="hybridMultilevel"/>
    <w:tmpl w:val="A730556E"/>
    <w:lvl w:ilvl="0" w:tplc="980C985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62722"/>
    <w:rsid w:val="00072610"/>
    <w:rsid w:val="00081AAB"/>
    <w:rsid w:val="00095789"/>
    <w:rsid w:val="000A4A34"/>
    <w:rsid w:val="000D738A"/>
    <w:rsid w:val="000E4D6D"/>
    <w:rsid w:val="00140B68"/>
    <w:rsid w:val="00170EC6"/>
    <w:rsid w:val="00193215"/>
    <w:rsid w:val="001B6EC0"/>
    <w:rsid w:val="001E14DB"/>
    <w:rsid w:val="00216B0F"/>
    <w:rsid w:val="0022122D"/>
    <w:rsid w:val="002324CA"/>
    <w:rsid w:val="0023500B"/>
    <w:rsid w:val="00263209"/>
    <w:rsid w:val="002815A2"/>
    <w:rsid w:val="00291A6A"/>
    <w:rsid w:val="002B4CC3"/>
    <w:rsid w:val="00343171"/>
    <w:rsid w:val="00372786"/>
    <w:rsid w:val="00373A80"/>
    <w:rsid w:val="00382291"/>
    <w:rsid w:val="0038525F"/>
    <w:rsid w:val="00392650"/>
    <w:rsid w:val="003A4DEF"/>
    <w:rsid w:val="003B0F5B"/>
    <w:rsid w:val="003C516A"/>
    <w:rsid w:val="003D0A7A"/>
    <w:rsid w:val="003D260F"/>
    <w:rsid w:val="003E2B20"/>
    <w:rsid w:val="00420EEF"/>
    <w:rsid w:val="00425FA9"/>
    <w:rsid w:val="00451C38"/>
    <w:rsid w:val="00452B00"/>
    <w:rsid w:val="004771A0"/>
    <w:rsid w:val="00485E96"/>
    <w:rsid w:val="004B1463"/>
    <w:rsid w:val="004C02E7"/>
    <w:rsid w:val="00511467"/>
    <w:rsid w:val="0052411C"/>
    <w:rsid w:val="005C04A9"/>
    <w:rsid w:val="005F5695"/>
    <w:rsid w:val="005F68F5"/>
    <w:rsid w:val="00726D3C"/>
    <w:rsid w:val="00727877"/>
    <w:rsid w:val="00765575"/>
    <w:rsid w:val="00775AF2"/>
    <w:rsid w:val="007B2D27"/>
    <w:rsid w:val="007D1A79"/>
    <w:rsid w:val="007F4A89"/>
    <w:rsid w:val="00837A81"/>
    <w:rsid w:val="00883761"/>
    <w:rsid w:val="008C19DC"/>
    <w:rsid w:val="008F245B"/>
    <w:rsid w:val="008F2D9B"/>
    <w:rsid w:val="008F5252"/>
    <w:rsid w:val="00926649"/>
    <w:rsid w:val="00926749"/>
    <w:rsid w:val="00927A03"/>
    <w:rsid w:val="009714CE"/>
    <w:rsid w:val="009945A3"/>
    <w:rsid w:val="009A723C"/>
    <w:rsid w:val="009B61A0"/>
    <w:rsid w:val="009C36ED"/>
    <w:rsid w:val="00A1067C"/>
    <w:rsid w:val="00A13D12"/>
    <w:rsid w:val="00A179E0"/>
    <w:rsid w:val="00A26378"/>
    <w:rsid w:val="00A40986"/>
    <w:rsid w:val="00A71D84"/>
    <w:rsid w:val="00A85613"/>
    <w:rsid w:val="00A90B4E"/>
    <w:rsid w:val="00AA54E5"/>
    <w:rsid w:val="00AA5762"/>
    <w:rsid w:val="00AD6959"/>
    <w:rsid w:val="00AE194C"/>
    <w:rsid w:val="00B2044D"/>
    <w:rsid w:val="00B36CB2"/>
    <w:rsid w:val="00B638A8"/>
    <w:rsid w:val="00BC04F1"/>
    <w:rsid w:val="00BE2885"/>
    <w:rsid w:val="00C36EFB"/>
    <w:rsid w:val="00C96587"/>
    <w:rsid w:val="00CB5B15"/>
    <w:rsid w:val="00CC7A99"/>
    <w:rsid w:val="00D66B39"/>
    <w:rsid w:val="00D75D03"/>
    <w:rsid w:val="00D77C28"/>
    <w:rsid w:val="00D85DB7"/>
    <w:rsid w:val="00DA1347"/>
    <w:rsid w:val="00DA55BB"/>
    <w:rsid w:val="00DE25AE"/>
    <w:rsid w:val="00DF77DF"/>
    <w:rsid w:val="00E34E37"/>
    <w:rsid w:val="00E53E7B"/>
    <w:rsid w:val="00E9562A"/>
    <w:rsid w:val="00EB1CB8"/>
    <w:rsid w:val="00ED781E"/>
    <w:rsid w:val="00EF0CEC"/>
    <w:rsid w:val="00EF462D"/>
    <w:rsid w:val="00F037DB"/>
    <w:rsid w:val="00F04E18"/>
    <w:rsid w:val="00F11141"/>
    <w:rsid w:val="00F529FC"/>
    <w:rsid w:val="00F74F26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4417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A686-FB18-49E8-AB64-1063ACE9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Casas, Reyna</cp:lastModifiedBy>
  <cp:revision>3</cp:revision>
  <dcterms:created xsi:type="dcterms:W3CDTF">2020-09-12T00:44:00Z</dcterms:created>
  <dcterms:modified xsi:type="dcterms:W3CDTF">2020-09-17T18:40:00Z</dcterms:modified>
</cp:coreProperties>
</file>