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7B2D27" w:rsidP="007B2D27">
      <w:pPr>
        <w:jc w:val="right"/>
        <w:rPr>
          <w:sz w:val="22"/>
          <w:szCs w:val="22"/>
        </w:rPr>
      </w:pPr>
      <w:r w:rsidRPr="007B2D27">
        <w:rPr>
          <w:sz w:val="22"/>
          <w:szCs w:val="22"/>
        </w:rPr>
        <w:t>November 1</w:t>
      </w:r>
      <w:r w:rsidR="009B61A0">
        <w:rPr>
          <w:sz w:val="22"/>
          <w:szCs w:val="22"/>
        </w:rPr>
        <w:t>9, 2019 Agenda</w:t>
      </w:r>
    </w:p>
    <w:p w:rsidR="007B2D27" w:rsidRPr="007B2D27" w:rsidRDefault="007B2D27" w:rsidP="007B2D27">
      <w:pPr>
        <w:jc w:val="right"/>
        <w:rPr>
          <w:sz w:val="22"/>
          <w:szCs w:val="22"/>
        </w:rPr>
      </w:pPr>
      <w:r w:rsidRPr="007B2D27">
        <w:rPr>
          <w:sz w:val="22"/>
          <w:szCs w:val="22"/>
        </w:rPr>
        <w:t>Building 4-2440</w:t>
      </w:r>
    </w:p>
    <w:p w:rsidR="007B2D27" w:rsidRDefault="007B2D27" w:rsidP="007B2D27">
      <w:pPr>
        <w:jc w:val="right"/>
        <w:rPr>
          <w:sz w:val="22"/>
          <w:szCs w:val="22"/>
        </w:rPr>
      </w:pPr>
      <w:r w:rsidRPr="007B2D27">
        <w:rPr>
          <w:sz w:val="22"/>
          <w:szCs w:val="22"/>
        </w:rPr>
        <w:t>3:30 – 500 P.M.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Serena Ott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7B2D27" w:rsidRPr="005364FD" w:rsidRDefault="007B2D27" w:rsidP="00C01598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E194C" w:rsidRPr="00BE2885" w:rsidRDefault="00BE2885" w:rsidP="00AE194C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Approved minutes for November 12, 2019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7B2D27" w:rsidRPr="00486D65" w:rsidRDefault="00BE2885" w:rsidP="00C01598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19</w:t>
            </w:r>
            <w:r w:rsidR="007B2D27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EF4FAC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BE2885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BE2885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7B2D27" w:rsidRDefault="00BE2885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BE2885" w:rsidRDefault="007B2D27" w:rsidP="00BE288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82291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82619">
              <w:rPr>
                <w:rFonts w:asciiTheme="majorHAnsi" w:hAnsiTheme="majorHAnsi" w:cstheme="majorHAnsi"/>
                <w:b/>
                <w:szCs w:val="20"/>
              </w:rPr>
              <w:t>New Courses</w:t>
            </w:r>
          </w:p>
          <w:p w:rsidR="00382291" w:rsidRPr="00382291" w:rsidRDefault="00382291" w:rsidP="00382291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ANTH 15 Peoples and Cultures of Latin America and the Caribbean (Included in Anthropology AA-T</w:t>
            </w:r>
          </w:p>
          <w:p w:rsidR="00382291" w:rsidRPr="00382291" w:rsidRDefault="00382291" w:rsidP="00382291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ANTH 15 Peoples and Cultures of Latin America and the Caribbean (Included in Anthropology AA-T</w:t>
            </w:r>
          </w:p>
          <w:p w:rsidR="00382291" w:rsidRDefault="00382291" w:rsidP="00382291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ANTH 17 Peoples and Cultures of the Middle East (Included in the Anthropology AA-T)</w:t>
            </w:r>
          </w:p>
          <w:p w:rsidR="00382291" w:rsidRPr="00382291" w:rsidRDefault="00382291" w:rsidP="00382291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ANTH 50 Introduction to Science, Technology, and Society (Included in the Anthropology AA-T)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Default="00382291" w:rsidP="00BE288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Access </w:t>
            </w:r>
            <w:proofErr w:type="spellStart"/>
            <w:proofErr w:type="gramStart"/>
            <w:r>
              <w:rPr>
                <w:rFonts w:ascii="Calibri" w:hAnsi="Calibri" w:cs="Calibri"/>
                <w:szCs w:val="20"/>
                <w:u w:val="none"/>
              </w:rPr>
              <w:t>WebCMS</w:t>
            </w:r>
            <w:proofErr w:type="spellEnd"/>
            <w:r>
              <w:rPr>
                <w:rFonts w:ascii="Calibri" w:hAnsi="Calibri" w:cs="Calibri"/>
                <w:szCs w:val="20"/>
                <w:u w:val="none"/>
              </w:rPr>
              <w:t xml:space="preserve">  </w:t>
            </w:r>
            <w:proofErr w:type="gramEnd"/>
            <w:hyperlink r:id="rId7" w:history="1">
              <w:r w:rsidRPr="009D1BD0">
                <w:rPr>
                  <w:rStyle w:val="Hyperlink"/>
                  <w:rFonts w:ascii="Calibri" w:hAnsi="Calibri" w:cs="Calibri"/>
                  <w:szCs w:val="20"/>
                </w:rPr>
                <w:t>https://webcms.mtsac.edu</w:t>
              </w:r>
            </w:hyperlink>
            <w:r>
              <w:rPr>
                <w:rFonts w:ascii="Calibri" w:hAnsi="Calibri" w:cs="Calibri"/>
                <w:szCs w:val="20"/>
                <w:u w:val="none"/>
              </w:rPr>
              <w:t xml:space="preserve"> under all proposals.</w:t>
            </w:r>
          </w:p>
          <w:p w:rsidR="00382291" w:rsidRDefault="00382291" w:rsidP="00BE2885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382291" w:rsidRDefault="00382291" w:rsidP="003D0A7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If you don’t have a user name and password </w:t>
            </w:r>
            <w:r w:rsidR="003D0A7A">
              <w:rPr>
                <w:rFonts w:ascii="Calibri" w:hAnsi="Calibri" w:cs="Calibri"/>
                <w:szCs w:val="20"/>
                <w:u w:val="none"/>
              </w:rPr>
              <w:t>please contact Irene Pinedo at ext. 5412.</w:t>
            </w:r>
            <w:bookmarkStart w:id="0" w:name="_GoBack"/>
            <w:bookmarkEnd w:id="0"/>
          </w:p>
          <w:p w:rsidR="00382291" w:rsidRPr="00382291" w:rsidRDefault="00382291" w:rsidP="00BE288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7B2D27" w:rsidP="0038229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120 Flying Team Fundamentals</w:t>
            </w: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4"/>
              </w:numPr>
            </w:pPr>
            <w:r>
              <w:t>Course Articulation/Variance Review – K. Allende</w:t>
            </w:r>
          </w:p>
          <w:p w:rsidR="007B2D27" w:rsidRPr="0020092A" w:rsidRDefault="007B2D27" w:rsidP="007B2D27">
            <w:pPr>
              <w:pStyle w:val="ListParagraph"/>
              <w:numPr>
                <w:ilvl w:val="0"/>
                <w:numId w:val="4"/>
              </w:numPr>
            </w:pPr>
            <w:r>
              <w:t>Courses and Programs Listed in Catalog Not Offered Within Two Years – J. Fowler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7B2D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Will keep on agenda</w:t>
            </w:r>
          </w:p>
          <w:p w:rsidR="007B2D27" w:rsidRPr="0020092A" w:rsidRDefault="007B2D27" w:rsidP="007B2D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Will keep on agenda</w:t>
            </w:r>
          </w:p>
        </w:tc>
      </w:tr>
      <w:tr w:rsidR="007B2D27" w:rsidTr="007B2D27">
        <w:tc>
          <w:tcPr>
            <w:tcW w:w="5324" w:type="dxa"/>
          </w:tcPr>
          <w:p w:rsidR="007B2D27" w:rsidRPr="0048237C" w:rsidRDefault="007B2D27" w:rsidP="007B2D2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8237C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:rsidR="007B2D27" w:rsidRPr="0020092A" w:rsidRDefault="007B2D27" w:rsidP="007B2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561" w:type="dxa"/>
          </w:tcPr>
          <w:p w:rsidR="007B2D27" w:rsidRDefault="007B2D27" w:rsidP="007B2D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On h</w:t>
            </w:r>
            <w:r w:rsidRPr="007F3B44">
              <w:rPr>
                <w:rFonts w:asciiTheme="majorHAnsi" w:hAnsiTheme="majorHAnsi" w:cstheme="majorHAnsi"/>
                <w:sz w:val="20"/>
                <w:szCs w:val="20"/>
              </w:rPr>
              <w:t>old. Fashion Department is creating a new program.</w:t>
            </w:r>
          </w:p>
          <w:p w:rsidR="007B2D27" w:rsidRDefault="007B2D27" w:rsidP="00C01598">
            <w:pPr>
              <w:pStyle w:val="ListParagraph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387"/>
    <w:multiLevelType w:val="hybridMultilevel"/>
    <w:tmpl w:val="0DDC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72330A8"/>
    <w:multiLevelType w:val="hybridMultilevel"/>
    <w:tmpl w:val="6A92C3E0"/>
    <w:lvl w:ilvl="0" w:tplc="2214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15DDC"/>
    <w:multiLevelType w:val="hybridMultilevel"/>
    <w:tmpl w:val="6CF4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A713FE5"/>
    <w:multiLevelType w:val="hybridMultilevel"/>
    <w:tmpl w:val="800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B3CED"/>
    <w:multiLevelType w:val="hybridMultilevel"/>
    <w:tmpl w:val="BCFCBF5C"/>
    <w:lvl w:ilvl="0" w:tplc="41D853F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5F4F18BD"/>
    <w:multiLevelType w:val="hybridMultilevel"/>
    <w:tmpl w:val="B4A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6"/>
  </w:num>
  <w:num w:numId="11">
    <w:abstractNumId w:val="13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372786"/>
    <w:rsid w:val="00382291"/>
    <w:rsid w:val="00392650"/>
    <w:rsid w:val="003D0A7A"/>
    <w:rsid w:val="005F5695"/>
    <w:rsid w:val="00727877"/>
    <w:rsid w:val="007B2D27"/>
    <w:rsid w:val="009B61A0"/>
    <w:rsid w:val="00A1067C"/>
    <w:rsid w:val="00AE194C"/>
    <w:rsid w:val="00BE2885"/>
    <w:rsid w:val="00D85DB7"/>
    <w:rsid w:val="00DF77DF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83E9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cms.mtsa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5B5B-B474-41E8-BD88-13177070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9</cp:revision>
  <dcterms:created xsi:type="dcterms:W3CDTF">2019-11-14T21:54:00Z</dcterms:created>
  <dcterms:modified xsi:type="dcterms:W3CDTF">2019-11-19T23:27:00Z</dcterms:modified>
</cp:coreProperties>
</file>