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EEB5" w14:textId="5AB6FCC6" w:rsidR="00CE5D24" w:rsidRPr="000B796E" w:rsidRDefault="001B216D" w:rsidP="001B216D">
      <w:pPr>
        <w:pStyle w:val="Heading1"/>
        <w:jc w:val="center"/>
        <w:rPr>
          <w:b/>
          <w:bCs/>
          <w:sz w:val="28"/>
          <w:szCs w:val="28"/>
        </w:rPr>
      </w:pPr>
      <w:r w:rsidRPr="000B796E">
        <w:rPr>
          <w:b/>
          <w:bCs/>
          <w:spacing w:val="-12"/>
          <w:sz w:val="28"/>
          <w:szCs w:val="28"/>
        </w:rPr>
        <w:t>Distance Learning Committee</w:t>
      </w:r>
      <w:r w:rsidR="00E329B5" w:rsidRPr="000B796E">
        <w:rPr>
          <w:b/>
          <w:bCs/>
          <w:spacing w:val="-12"/>
          <w:sz w:val="28"/>
          <w:szCs w:val="28"/>
        </w:rPr>
        <w:t xml:space="preserve"> (DLC)</w:t>
      </w:r>
    </w:p>
    <w:p w14:paraId="282DFB6B" w14:textId="3D6ECDEE" w:rsidR="001B216D" w:rsidRPr="00ED1D4F" w:rsidRDefault="00CE5D24" w:rsidP="008F061A">
      <w:pPr>
        <w:pStyle w:val="Heading2"/>
        <w:jc w:val="center"/>
        <w:rPr>
          <w:b w:val="0"/>
          <w:bCs/>
          <w:spacing w:val="-18"/>
        </w:rPr>
      </w:pPr>
      <w:r w:rsidRPr="00ED1D4F">
        <w:rPr>
          <w:b w:val="0"/>
          <w:bCs/>
          <w:spacing w:val="-18"/>
        </w:rPr>
        <w:t>R</w:t>
      </w:r>
      <w:r w:rsidRPr="00ED1D4F">
        <w:rPr>
          <w:b w:val="0"/>
          <w:bCs/>
        </w:rPr>
        <w:t>e</w:t>
      </w:r>
      <w:r w:rsidRPr="00ED1D4F">
        <w:rPr>
          <w:b w:val="0"/>
          <w:bCs/>
          <w:spacing w:val="-12"/>
        </w:rPr>
        <w:t>p</w:t>
      </w:r>
      <w:r w:rsidRPr="00ED1D4F">
        <w:rPr>
          <w:b w:val="0"/>
          <w:bCs/>
          <w:spacing w:val="-13"/>
        </w:rPr>
        <w:t>o</w:t>
      </w:r>
      <w:r w:rsidRPr="00ED1D4F">
        <w:rPr>
          <w:b w:val="0"/>
          <w:bCs/>
          <w:spacing w:val="-12"/>
        </w:rPr>
        <w:t>r</w:t>
      </w:r>
      <w:r w:rsidRPr="00ED1D4F">
        <w:rPr>
          <w:b w:val="0"/>
          <w:bCs/>
        </w:rPr>
        <w:t>t</w:t>
      </w:r>
      <w:r w:rsidRPr="00ED1D4F">
        <w:rPr>
          <w:b w:val="0"/>
          <w:bCs/>
          <w:spacing w:val="-18"/>
        </w:rPr>
        <w:t xml:space="preserve"> </w:t>
      </w:r>
      <w:r w:rsidRPr="00ED1D4F">
        <w:rPr>
          <w:b w:val="0"/>
          <w:bCs/>
          <w:spacing w:val="-15"/>
        </w:rPr>
        <w:t>t</w:t>
      </w:r>
      <w:r w:rsidRPr="00ED1D4F">
        <w:rPr>
          <w:b w:val="0"/>
          <w:bCs/>
        </w:rPr>
        <w:t>o</w:t>
      </w:r>
      <w:r w:rsidRPr="00ED1D4F">
        <w:rPr>
          <w:b w:val="0"/>
          <w:bCs/>
          <w:spacing w:val="-21"/>
        </w:rPr>
        <w:t xml:space="preserve"> </w:t>
      </w:r>
      <w:r w:rsidRPr="00ED1D4F">
        <w:rPr>
          <w:b w:val="0"/>
          <w:bCs/>
          <w:spacing w:val="-14"/>
        </w:rPr>
        <w:t>A</w:t>
      </w:r>
      <w:r w:rsidRPr="00ED1D4F">
        <w:rPr>
          <w:b w:val="0"/>
          <w:bCs/>
          <w:spacing w:val="-12"/>
        </w:rPr>
        <w:t>c</w:t>
      </w:r>
      <w:r w:rsidRPr="00ED1D4F">
        <w:rPr>
          <w:b w:val="0"/>
          <w:bCs/>
        </w:rPr>
        <w:t>a</w:t>
      </w:r>
      <w:r w:rsidRPr="00ED1D4F">
        <w:rPr>
          <w:b w:val="0"/>
          <w:bCs/>
          <w:spacing w:val="-11"/>
        </w:rPr>
        <w:t>d</w:t>
      </w:r>
      <w:r w:rsidRPr="00ED1D4F">
        <w:rPr>
          <w:b w:val="0"/>
          <w:bCs/>
        </w:rPr>
        <w:t>e</w:t>
      </w:r>
      <w:r w:rsidRPr="00ED1D4F">
        <w:rPr>
          <w:b w:val="0"/>
          <w:bCs/>
          <w:spacing w:val="-12"/>
        </w:rPr>
        <w:t>m</w:t>
      </w:r>
      <w:r w:rsidRPr="00ED1D4F">
        <w:rPr>
          <w:b w:val="0"/>
          <w:bCs/>
          <w:spacing w:val="-11"/>
        </w:rPr>
        <w:t>i</w:t>
      </w:r>
      <w:r w:rsidRPr="00ED1D4F">
        <w:rPr>
          <w:b w:val="0"/>
          <w:bCs/>
        </w:rPr>
        <w:t>c</w:t>
      </w:r>
      <w:r w:rsidRPr="00ED1D4F">
        <w:rPr>
          <w:b w:val="0"/>
          <w:bCs/>
          <w:spacing w:val="-21"/>
        </w:rPr>
        <w:t xml:space="preserve"> </w:t>
      </w:r>
      <w:r w:rsidRPr="00ED1D4F">
        <w:rPr>
          <w:b w:val="0"/>
          <w:bCs/>
          <w:spacing w:val="-8"/>
        </w:rPr>
        <w:t>S</w:t>
      </w:r>
      <w:r w:rsidRPr="00ED1D4F">
        <w:rPr>
          <w:b w:val="0"/>
          <w:bCs/>
        </w:rPr>
        <w:t>e</w:t>
      </w:r>
      <w:r w:rsidRPr="00ED1D4F">
        <w:rPr>
          <w:b w:val="0"/>
          <w:bCs/>
          <w:spacing w:val="-13"/>
        </w:rPr>
        <w:t>n</w:t>
      </w:r>
      <w:r w:rsidRPr="00ED1D4F">
        <w:rPr>
          <w:b w:val="0"/>
          <w:bCs/>
        </w:rPr>
        <w:t>a</w:t>
      </w:r>
      <w:r w:rsidRPr="00ED1D4F">
        <w:rPr>
          <w:b w:val="0"/>
          <w:bCs/>
          <w:spacing w:val="-15"/>
        </w:rPr>
        <w:t>t</w:t>
      </w:r>
      <w:r w:rsidRPr="00ED1D4F">
        <w:rPr>
          <w:b w:val="0"/>
          <w:bCs/>
        </w:rPr>
        <w:t>e</w:t>
      </w:r>
    </w:p>
    <w:p w14:paraId="468A7405" w14:textId="28E79EBE" w:rsidR="00CE5D24" w:rsidRPr="007F3C48" w:rsidRDefault="00805F13" w:rsidP="008F061A">
      <w:pPr>
        <w:pStyle w:val="Heading2"/>
        <w:jc w:val="center"/>
      </w:pPr>
      <w:r>
        <w:t>October 13</w:t>
      </w:r>
      <w:r w:rsidR="005A418A">
        <w:t>, 2022</w:t>
      </w:r>
    </w:p>
    <w:p w14:paraId="6D996C89" w14:textId="77777777" w:rsidR="002F4C1F" w:rsidRDefault="002F4C1F" w:rsidP="001B216D">
      <w:pPr>
        <w:pStyle w:val="Heading2"/>
        <w:rPr>
          <w:b w:val="0"/>
          <w:color w:val="auto"/>
          <w:spacing w:val="-2"/>
          <w:szCs w:val="28"/>
        </w:rPr>
      </w:pPr>
    </w:p>
    <w:p w14:paraId="46C66F2E" w14:textId="3D6E4EB4" w:rsidR="00A8453C" w:rsidRPr="005F6AD0" w:rsidRDefault="00A8453C" w:rsidP="005F6AD0">
      <w:pPr>
        <w:spacing w:before="55"/>
        <w:rPr>
          <w:rFonts w:ascii="Tahoma" w:hAnsi="Tahoma"/>
          <w:bCs/>
          <w:color w:val="7030A0"/>
          <w:spacing w:val="-3"/>
          <w:szCs w:val="28"/>
        </w:rPr>
      </w:pPr>
    </w:p>
    <w:p w14:paraId="1C8331BB" w14:textId="47DC2F9F" w:rsidR="005F6D1E" w:rsidRDefault="00ED1D4F" w:rsidP="005F6D1E">
      <w:pPr>
        <w:pStyle w:val="Heading2"/>
        <w:rPr>
          <w:rFonts w:ascii="Tahoma" w:hAnsi="Tahoma"/>
          <w:bCs/>
          <w:color w:val="7030A0"/>
          <w:szCs w:val="28"/>
        </w:rPr>
      </w:pPr>
      <w:r>
        <w:rPr>
          <w:rFonts w:ascii="Tahoma" w:hAnsi="Tahoma"/>
          <w:bCs/>
          <w:color w:val="7030A0"/>
          <w:szCs w:val="28"/>
        </w:rPr>
        <w:t xml:space="preserve">DLC </w:t>
      </w:r>
      <w:r w:rsidR="001A34E4">
        <w:rPr>
          <w:rFonts w:ascii="Tahoma" w:hAnsi="Tahoma"/>
          <w:bCs/>
          <w:color w:val="7030A0"/>
          <w:szCs w:val="28"/>
        </w:rPr>
        <w:t>Thanks You</w:t>
      </w:r>
      <w:r>
        <w:rPr>
          <w:rFonts w:ascii="Tahoma" w:hAnsi="Tahoma"/>
          <w:bCs/>
          <w:color w:val="7030A0"/>
          <w:szCs w:val="28"/>
        </w:rPr>
        <w:t xml:space="preserve"> </w:t>
      </w:r>
    </w:p>
    <w:p w14:paraId="2AADEEC0" w14:textId="534BC8A5" w:rsidR="00805F13" w:rsidRDefault="00805F13" w:rsidP="00805F13"/>
    <w:p w14:paraId="1D5D5569" w14:textId="073BD6CD" w:rsidR="00BB4853" w:rsidRPr="001A34E4" w:rsidRDefault="001A34E4" w:rsidP="00805F13">
      <w:pPr>
        <w:rPr>
          <w:rFonts w:ascii="Tahoma" w:hAnsi="Tahoma" w:cs="Tahoma"/>
        </w:rPr>
      </w:pPr>
      <w:r w:rsidRPr="001A34E4">
        <w:rPr>
          <w:rFonts w:ascii="Tahoma" w:hAnsi="Tahoma" w:cs="Tahoma"/>
        </w:rPr>
        <w:t xml:space="preserve">The DLC would like to thank Academic Senate for their support on our updated AP 4105 and the RSI Rubric.  </w:t>
      </w:r>
    </w:p>
    <w:p w14:paraId="20C0DA75" w14:textId="77777777" w:rsidR="00805F13" w:rsidRPr="00805F13" w:rsidRDefault="00805F13" w:rsidP="00805F13"/>
    <w:p w14:paraId="26CE5B20" w14:textId="77777777" w:rsidR="00DE2B9C" w:rsidRDefault="00DE2B9C" w:rsidP="005F6D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/>
          <w:sz w:val="22"/>
          <w:szCs w:val="22"/>
        </w:rPr>
      </w:pPr>
    </w:p>
    <w:p w14:paraId="76582E34" w14:textId="2E5F234A" w:rsidR="00ED1D4F" w:rsidRDefault="00ED1D4F" w:rsidP="00ED1D4F">
      <w:pPr>
        <w:pStyle w:val="Heading2"/>
        <w:rPr>
          <w:rFonts w:ascii="Tahoma" w:hAnsi="Tahoma"/>
          <w:bCs/>
          <w:color w:val="7030A0"/>
          <w:szCs w:val="28"/>
        </w:rPr>
      </w:pPr>
      <w:r>
        <w:rPr>
          <w:rFonts w:ascii="Tahoma" w:hAnsi="Tahoma"/>
          <w:bCs/>
          <w:color w:val="7030A0"/>
          <w:szCs w:val="28"/>
        </w:rPr>
        <w:t xml:space="preserve">Proctored Software Court Case  </w:t>
      </w:r>
    </w:p>
    <w:p w14:paraId="4CB5C309" w14:textId="55236BE7" w:rsidR="0053554D" w:rsidRDefault="0053554D" w:rsidP="005F6D1E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/>
          <w:sz w:val="22"/>
          <w:szCs w:val="22"/>
        </w:rPr>
      </w:pPr>
    </w:p>
    <w:p w14:paraId="4AEF5675" w14:textId="33581622" w:rsidR="00ED1D4F" w:rsidRPr="001A34E4" w:rsidRDefault="00ED1D4F" w:rsidP="005F6D1E">
      <w:pPr>
        <w:pStyle w:val="paragraph"/>
        <w:spacing w:before="0" w:beforeAutospacing="0" w:after="0" w:afterAutospacing="0"/>
        <w:textAlignment w:val="baseline"/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</w:pPr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A federal judge in the </w:t>
      </w:r>
      <w:r w:rsidR="00253E13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Northern District of Ohio</w:t>
      </w:r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determined that room scans, as part of a remote, proctored online exam, </w:t>
      </w:r>
      <w:r w:rsidR="00253E13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violated a student’s constitutional right to privacy</w:t>
      </w:r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.</w:t>
      </w:r>
      <w:r w:rsidR="00A27FB7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(1)</w:t>
      </w:r>
    </w:p>
    <w:p w14:paraId="77D60882" w14:textId="69116620" w:rsidR="00EF69EC" w:rsidRPr="001A34E4" w:rsidRDefault="00EF69EC" w:rsidP="005F6D1E">
      <w:pPr>
        <w:pStyle w:val="paragraph"/>
        <w:spacing w:before="0" w:beforeAutospacing="0" w:after="0" w:afterAutospacing="0"/>
        <w:textAlignment w:val="baseline"/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</w:pPr>
    </w:p>
    <w:p w14:paraId="5B87C00D" w14:textId="7148C876" w:rsidR="00EF69EC" w:rsidRPr="001A34E4" w:rsidRDefault="00EF69EC" w:rsidP="005F6D1E">
      <w:pPr>
        <w:pStyle w:val="paragraph"/>
        <w:spacing w:before="0" w:beforeAutospacing="0" w:after="0" w:afterAutospacing="0"/>
        <w:textAlignment w:val="baseline"/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</w:pPr>
      <w:proofErr w:type="spellStart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Honorlock</w:t>
      </w:r>
      <w:proofErr w:type="spellEnd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is Mt. SAC’s proctoring software.  A DLC workgroup reviewed several proctoring software options and recommended </w:t>
      </w:r>
      <w:proofErr w:type="spellStart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Honorlock</w:t>
      </w:r>
      <w:proofErr w:type="spellEnd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because it seemed more flexible than other options.  </w:t>
      </w:r>
      <w:proofErr w:type="gramStart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In particular, faculty</w:t>
      </w:r>
      <w:proofErr w:type="gramEnd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can choose not to activate a camera in a student room.  The choice of </w:t>
      </w:r>
      <w:proofErr w:type="spellStart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Honorlock</w:t>
      </w:r>
      <w:proofErr w:type="spellEnd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was approved by Academic Senate</w:t>
      </w:r>
      <w:r w:rsidR="001A34E4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in Spring 2021</w:t>
      </w:r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.  </w:t>
      </w:r>
    </w:p>
    <w:p w14:paraId="71875C37" w14:textId="6CAD4571" w:rsidR="0053554D" w:rsidRPr="001A34E4" w:rsidRDefault="0053554D" w:rsidP="005F6D1E">
      <w:pPr>
        <w:pStyle w:val="paragraph"/>
        <w:spacing w:before="0" w:beforeAutospacing="0" w:after="0" w:afterAutospacing="0"/>
        <w:textAlignment w:val="baseline"/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</w:pPr>
    </w:p>
    <w:p w14:paraId="4E4DF6D0" w14:textId="371117CA" w:rsidR="00253E13" w:rsidRPr="001A34E4" w:rsidRDefault="00253E13" w:rsidP="005F6D1E">
      <w:pPr>
        <w:pStyle w:val="paragraph"/>
        <w:spacing w:before="0" w:beforeAutospacing="0" w:after="0" w:afterAutospacing="0"/>
        <w:textAlignment w:val="baseline"/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</w:pPr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For those faculty using </w:t>
      </w:r>
      <w:proofErr w:type="spellStart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Honorlock</w:t>
      </w:r>
      <w:proofErr w:type="spellEnd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,</w:t>
      </w:r>
    </w:p>
    <w:p w14:paraId="25CA63F8" w14:textId="3D238148" w:rsidR="00253E13" w:rsidRPr="001A34E4" w:rsidRDefault="00253E13" w:rsidP="00253E1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</w:pPr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This ruling does not pertain to California.  However, it does express many student concerns about online </w:t>
      </w:r>
      <w:proofErr w:type="gramStart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privacy</w:t>
      </w:r>
      <w:proofErr w:type="gramEnd"/>
      <w:r w:rsidR="00EF69EC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so it is important to keep these concerns in mind.  The first question to consider is always:  Do I need to use proctoring software in my class, or are there other ways to </w:t>
      </w:r>
      <w:r w:rsidR="00A27FB7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ensure that I am reviewing a student’s authentic work?</w:t>
      </w:r>
    </w:p>
    <w:p w14:paraId="53DEF416" w14:textId="4027BE4A" w:rsidR="00253E13" w:rsidRPr="001A34E4" w:rsidRDefault="00253E13" w:rsidP="00253E1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</w:pPr>
      <w:proofErr w:type="spellStart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Honorlock</w:t>
      </w:r>
      <w:proofErr w:type="spellEnd"/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does not require camera use or room scans.  Faculty determine the level of proctoring</w:t>
      </w:r>
      <w:r w:rsidR="00EF69EC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they activate in </w:t>
      </w:r>
      <w:proofErr w:type="spellStart"/>
      <w:r w:rsidR="00EF69EC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Honorlock</w:t>
      </w:r>
      <w:proofErr w:type="spellEnd"/>
      <w:r w:rsidR="00EF69EC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.  Have a robust justification for using a room scan</w:t>
      </w:r>
      <w:r w:rsid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or camera requirement</w:t>
      </w:r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.  </w:t>
      </w:r>
    </w:p>
    <w:p w14:paraId="19DEEDDB" w14:textId="691BBDF0" w:rsidR="00253E13" w:rsidRPr="001A34E4" w:rsidRDefault="00253E13" w:rsidP="00253E1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</w:pPr>
      <w:r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If you have questions</w:t>
      </w:r>
      <w:r w:rsidR="00EF69EC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about how to set up </w:t>
      </w:r>
      <w:proofErr w:type="spellStart"/>
      <w:r w:rsidR="00EF69EC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Honorlock</w:t>
      </w:r>
      <w:proofErr w:type="spellEnd"/>
      <w:r w:rsidR="00EF69EC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in your course, </w:t>
      </w:r>
      <w:r w:rsidR="001A34E4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t</w:t>
      </w:r>
      <w:r w:rsidR="00A27FB7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here is a self-paced course on </w:t>
      </w:r>
      <w:proofErr w:type="spellStart"/>
      <w:r w:rsidR="00A27FB7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>Honorlock</w:t>
      </w:r>
      <w:proofErr w:type="spellEnd"/>
      <w:r w:rsidR="00A27FB7" w:rsidRPr="001A34E4"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  <w:t xml:space="preserve"> in POD that counts toward SPOT recertification.  </w:t>
      </w:r>
    </w:p>
    <w:p w14:paraId="65CD0F5B" w14:textId="06D30CAD" w:rsidR="00253E13" w:rsidRPr="001A34E4" w:rsidRDefault="00253E13" w:rsidP="00253E13">
      <w:pPr>
        <w:pStyle w:val="paragraph"/>
        <w:spacing w:before="0" w:beforeAutospacing="0" w:after="0" w:afterAutospacing="0"/>
        <w:textAlignment w:val="baseline"/>
        <w:rPr>
          <w:rStyle w:val="Hyperlink"/>
          <w:rFonts w:ascii="Tahoma" w:eastAsiaTheme="majorEastAsia" w:hAnsi="Tahoma" w:cs="Tahoma"/>
          <w:color w:val="auto"/>
          <w:sz w:val="22"/>
          <w:szCs w:val="22"/>
          <w:u w:val="none"/>
        </w:rPr>
      </w:pPr>
    </w:p>
    <w:p w14:paraId="37E9E6DA" w14:textId="77777777" w:rsidR="00A27FB7" w:rsidRPr="001A34E4" w:rsidRDefault="00A27FB7" w:rsidP="00A27FB7">
      <w:pPr>
        <w:pStyle w:val="elementtoproof"/>
        <w:numPr>
          <w:ilvl w:val="0"/>
          <w:numId w:val="31"/>
        </w:numPr>
        <w:shd w:val="clear" w:color="auto" w:fill="FFFFFF"/>
        <w:spacing w:before="0" w:after="0"/>
        <w:rPr>
          <w:rFonts w:ascii="Tahoma" w:hAnsi="Tahoma" w:cs="Tahoma"/>
          <w:color w:val="000000"/>
        </w:rPr>
      </w:pPr>
      <w:r w:rsidRPr="001A34E4">
        <w:rPr>
          <w:rFonts w:ascii="Tahoma" w:hAnsi="Tahoma" w:cs="Tahoma"/>
          <w:color w:val="000000"/>
        </w:rPr>
        <w:t>Bowman, Emma.  Scanning student rooms during remote tests is unconstitutional, judge rules.  NPR.  Updated August 26, 2022.  </w:t>
      </w:r>
      <w:hyperlink r:id="rId8" w:history="1">
        <w:r w:rsidRPr="001A34E4">
          <w:rPr>
            <w:rStyle w:val="Hyperlink"/>
            <w:rFonts w:ascii="Tahoma" w:hAnsi="Tahoma" w:cs="Tahoma"/>
            <w:bdr w:val="none" w:sz="0" w:space="0" w:color="auto" w:frame="1"/>
          </w:rPr>
          <w:t>https://www.npr.org/2022/08/25/1119337956/test-proctoring-room-scans-unconstitutional-cleveland-state-university</w:t>
        </w:r>
      </w:hyperlink>
    </w:p>
    <w:p w14:paraId="6999EA90" w14:textId="77777777" w:rsidR="00253E13" w:rsidRPr="00253E13" w:rsidRDefault="00253E13" w:rsidP="00253E13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/>
          <w:color w:val="auto"/>
          <w:sz w:val="22"/>
          <w:szCs w:val="22"/>
          <w:u w:val="none"/>
        </w:rPr>
      </w:pPr>
    </w:p>
    <w:p w14:paraId="462FD493" w14:textId="663F1CF1" w:rsidR="005F6D1E" w:rsidRPr="001B0EFD" w:rsidRDefault="001B0EFD" w:rsidP="001B0EFD">
      <w:pPr>
        <w:pStyle w:val="Heading2"/>
        <w:rPr>
          <w:rStyle w:val="eop"/>
          <w:rFonts w:ascii="Tahoma" w:hAnsi="Tahoma" w:cs="Tahoma"/>
          <w:color w:val="7030A0"/>
          <w:sz w:val="22"/>
          <w:szCs w:val="22"/>
        </w:rPr>
      </w:pPr>
      <w:r w:rsidRPr="001B0EFD">
        <w:rPr>
          <w:rFonts w:ascii="Tahoma" w:hAnsi="Tahoma" w:cs="Tahoma"/>
          <w:color w:val="7030A0"/>
        </w:rPr>
        <w:t>SPOT Update</w:t>
      </w:r>
    </w:p>
    <w:p w14:paraId="687DEFD4" w14:textId="15E18161" w:rsidR="0053554D" w:rsidRDefault="0053554D" w:rsidP="005F6D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/>
          <w:sz w:val="22"/>
          <w:szCs w:val="22"/>
        </w:rPr>
      </w:pPr>
    </w:p>
    <w:p w14:paraId="072D33F1" w14:textId="67C4B9B8" w:rsidR="00805F13" w:rsidRPr="001A34E4" w:rsidRDefault="00805F13" w:rsidP="00ED1D4F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Tahoma" w:eastAsiaTheme="majorEastAsia" w:hAnsi="Tahoma" w:cs="Tahoma"/>
          <w:sz w:val="22"/>
          <w:szCs w:val="22"/>
        </w:rPr>
      </w:pPr>
      <w:r w:rsidRPr="001A34E4">
        <w:rPr>
          <w:rStyle w:val="eop"/>
          <w:rFonts w:ascii="Tahoma" w:eastAsiaTheme="majorEastAsia" w:hAnsi="Tahoma" w:cs="Tahoma"/>
          <w:sz w:val="22"/>
          <w:szCs w:val="22"/>
        </w:rPr>
        <w:t>There are now 828 SPOT-certified faculty.</w:t>
      </w:r>
    </w:p>
    <w:p w14:paraId="3242E535" w14:textId="4B5FE251" w:rsidR="00805F13" w:rsidRPr="001A34E4" w:rsidRDefault="00805F13" w:rsidP="005F6D1E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eastAsiaTheme="majorEastAsia" w:hAnsi="Tahoma" w:cs="Tahoma"/>
          <w:sz w:val="22"/>
          <w:szCs w:val="22"/>
        </w:rPr>
      </w:pPr>
    </w:p>
    <w:p w14:paraId="387A22E1" w14:textId="386B8631" w:rsidR="00805F13" w:rsidRPr="001A34E4" w:rsidRDefault="00805F13" w:rsidP="00ED1D4F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Tahoma" w:eastAsiaTheme="majorEastAsia" w:hAnsi="Tahoma" w:cs="Tahoma"/>
          <w:sz w:val="22"/>
          <w:szCs w:val="22"/>
        </w:rPr>
      </w:pPr>
      <w:r w:rsidRPr="001A34E4">
        <w:rPr>
          <w:rStyle w:val="eop"/>
          <w:rFonts w:ascii="Tahoma" w:eastAsiaTheme="majorEastAsia" w:hAnsi="Tahoma" w:cs="Tahoma"/>
          <w:sz w:val="22"/>
          <w:szCs w:val="22"/>
        </w:rPr>
        <w:t xml:space="preserve">SPOT is working with Team </w:t>
      </w:r>
      <w:proofErr w:type="spellStart"/>
      <w:r w:rsidRPr="001A34E4">
        <w:rPr>
          <w:rStyle w:val="eop"/>
          <w:rFonts w:ascii="Tahoma" w:eastAsiaTheme="majorEastAsia" w:hAnsi="Tahoma" w:cs="Tahoma"/>
          <w:sz w:val="22"/>
          <w:szCs w:val="22"/>
        </w:rPr>
        <w:t>CoCo</w:t>
      </w:r>
      <w:proofErr w:type="spellEnd"/>
      <w:r w:rsidRPr="001A34E4">
        <w:rPr>
          <w:rStyle w:val="eop"/>
          <w:rFonts w:ascii="Tahoma" w:eastAsiaTheme="majorEastAsia" w:hAnsi="Tahoma" w:cs="Tahoma"/>
          <w:sz w:val="22"/>
          <w:szCs w:val="22"/>
        </w:rPr>
        <w:t xml:space="preserve"> to </w:t>
      </w:r>
      <w:r w:rsidR="001A34E4" w:rsidRPr="001A34E4">
        <w:rPr>
          <w:rStyle w:val="eop"/>
          <w:rFonts w:ascii="Tahoma" w:eastAsiaTheme="majorEastAsia" w:hAnsi="Tahoma" w:cs="Tahoma"/>
          <w:sz w:val="22"/>
          <w:szCs w:val="22"/>
        </w:rPr>
        <w:t>create a moderated cohort to help faculty complete SPOT over the winter.  There are ten faculty in the cohort.</w:t>
      </w:r>
    </w:p>
    <w:p w14:paraId="36BA5ECE" w14:textId="26D3E44C" w:rsidR="00805F13" w:rsidRPr="001A34E4" w:rsidRDefault="00805F13" w:rsidP="005F6D1E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eastAsiaTheme="majorEastAsia" w:hAnsi="Tahoma" w:cs="Tahoma"/>
          <w:sz w:val="22"/>
          <w:szCs w:val="22"/>
        </w:rPr>
      </w:pPr>
    </w:p>
    <w:p w14:paraId="29EA0649" w14:textId="0DFADE08" w:rsidR="00805F13" w:rsidRPr="001A34E4" w:rsidRDefault="00805F13" w:rsidP="00ED1D4F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Tahoma" w:eastAsiaTheme="majorEastAsia" w:hAnsi="Tahoma" w:cs="Tahoma"/>
          <w:sz w:val="22"/>
          <w:szCs w:val="22"/>
        </w:rPr>
      </w:pPr>
      <w:r w:rsidRPr="001A34E4">
        <w:rPr>
          <w:rStyle w:val="eop"/>
          <w:rFonts w:ascii="Tahoma" w:eastAsiaTheme="majorEastAsia" w:hAnsi="Tahoma" w:cs="Tahoma"/>
          <w:sz w:val="22"/>
          <w:szCs w:val="22"/>
        </w:rPr>
        <w:t>35 faculty have SPOT recertification due July 31, 2023.  Not sure if you are one of them?  Check the SPOT Recertification webpage.</w:t>
      </w:r>
    </w:p>
    <w:p w14:paraId="17DBDFCD" w14:textId="69257B29" w:rsidR="00805F13" w:rsidRDefault="00805F13" w:rsidP="005F6D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/>
          <w:sz w:val="22"/>
          <w:szCs w:val="22"/>
        </w:rPr>
      </w:pPr>
    </w:p>
    <w:p w14:paraId="5DF2BCDE" w14:textId="77777777" w:rsidR="00805F13" w:rsidRDefault="00805F13" w:rsidP="005F6D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/>
          <w:sz w:val="22"/>
          <w:szCs w:val="22"/>
        </w:rPr>
      </w:pPr>
    </w:p>
    <w:p w14:paraId="3A9EE721" w14:textId="17CD5698" w:rsidR="00805F13" w:rsidRPr="001B0EFD" w:rsidRDefault="00805F13" w:rsidP="00805F13">
      <w:pPr>
        <w:pStyle w:val="Heading2"/>
        <w:rPr>
          <w:rStyle w:val="eop"/>
          <w:rFonts w:ascii="Tahoma" w:hAnsi="Tahoma" w:cs="Tahoma"/>
          <w:color w:val="7030A0"/>
          <w:sz w:val="22"/>
          <w:szCs w:val="22"/>
        </w:rPr>
      </w:pPr>
      <w:r>
        <w:rPr>
          <w:rFonts w:ascii="Tahoma" w:hAnsi="Tahoma" w:cs="Tahoma"/>
          <w:color w:val="7030A0"/>
        </w:rPr>
        <w:t>Call</w:t>
      </w:r>
      <w:r w:rsidR="00ED1D4F">
        <w:rPr>
          <w:rFonts w:ascii="Tahoma" w:hAnsi="Tahoma" w:cs="Tahoma"/>
          <w:color w:val="7030A0"/>
        </w:rPr>
        <w:t xml:space="preserve"> for </w:t>
      </w:r>
      <w:r w:rsidR="006F15F1">
        <w:rPr>
          <w:rFonts w:ascii="Tahoma" w:hAnsi="Tahoma" w:cs="Tahoma"/>
          <w:color w:val="7030A0"/>
        </w:rPr>
        <w:t xml:space="preserve">Courses to Align to </w:t>
      </w:r>
      <w:r w:rsidR="00ED1D4F">
        <w:rPr>
          <w:rFonts w:ascii="Tahoma" w:hAnsi="Tahoma" w:cs="Tahoma"/>
          <w:color w:val="7030A0"/>
        </w:rPr>
        <w:t xml:space="preserve">CVC </w:t>
      </w:r>
      <w:r w:rsidR="006F15F1">
        <w:rPr>
          <w:rFonts w:ascii="Tahoma" w:hAnsi="Tahoma" w:cs="Tahoma"/>
          <w:color w:val="7030A0"/>
        </w:rPr>
        <w:t>Rubric</w:t>
      </w:r>
      <w:r w:rsidR="00ED1D4F">
        <w:rPr>
          <w:rFonts w:ascii="Tahoma" w:hAnsi="Tahoma" w:cs="Tahoma"/>
          <w:color w:val="7030A0"/>
        </w:rPr>
        <w:t xml:space="preserve"> </w:t>
      </w:r>
    </w:p>
    <w:p w14:paraId="6F38B4DD" w14:textId="58C19798" w:rsidR="001B0EFD" w:rsidRPr="008F061A" w:rsidRDefault="001B0EFD" w:rsidP="005F6D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/>
          <w:sz w:val="22"/>
          <w:szCs w:val="22"/>
        </w:rPr>
      </w:pPr>
    </w:p>
    <w:p w14:paraId="0A9E5AEE" w14:textId="7338463A" w:rsidR="0053554D" w:rsidRDefault="006F15F1" w:rsidP="00BA479E">
      <w:pPr>
        <w:widowControl/>
        <w:spacing w:after="160" w:line="259" w:lineRule="auto"/>
        <w:rPr>
          <w:rFonts w:ascii="Tahoma" w:eastAsiaTheme="majorEastAsia" w:hAnsi="Tahoma" w:cstheme="majorBidi"/>
          <w:b/>
          <w:bCs/>
          <w:color w:val="7030A0"/>
          <w:spacing w:val="-3"/>
          <w:sz w:val="28"/>
          <w:szCs w:val="28"/>
        </w:rPr>
      </w:pPr>
      <w:r>
        <w:rPr>
          <w:rFonts w:ascii="Tahoma" w:hAnsi="Tahoma"/>
          <w:bCs/>
          <w:color w:val="000000" w:themeColor="text1"/>
          <w:spacing w:val="-3"/>
          <w:szCs w:val="28"/>
        </w:rPr>
        <w:t xml:space="preserve">Mt SAC’s local </w:t>
      </w:r>
      <w:r w:rsidR="001A34E4" w:rsidRPr="001A34E4">
        <w:rPr>
          <w:rFonts w:ascii="Tahoma" w:hAnsi="Tahoma"/>
          <w:bCs/>
          <w:color w:val="000000" w:themeColor="text1"/>
          <w:spacing w:val="-3"/>
          <w:szCs w:val="28"/>
        </w:rPr>
        <w:t xml:space="preserve">Peer Online Course Review </w:t>
      </w:r>
      <w:r>
        <w:rPr>
          <w:rFonts w:ascii="Tahoma" w:hAnsi="Tahoma"/>
          <w:bCs/>
          <w:color w:val="000000" w:themeColor="text1"/>
          <w:spacing w:val="-3"/>
          <w:szCs w:val="28"/>
        </w:rPr>
        <w:t xml:space="preserve">(POCR) team received SEAP grant funding for another year!  We are calling for faculty to align their fully online courses to the CVC Course Design Rubric and earn a Quality Review badge.  </w:t>
      </w:r>
      <w:proofErr w:type="gramStart"/>
      <w:r>
        <w:rPr>
          <w:rFonts w:ascii="Tahoma" w:hAnsi="Tahoma"/>
          <w:bCs/>
          <w:color w:val="000000" w:themeColor="text1"/>
          <w:spacing w:val="-3"/>
          <w:szCs w:val="28"/>
        </w:rPr>
        <w:t>In particular, we</w:t>
      </w:r>
      <w:proofErr w:type="gramEnd"/>
      <w:r>
        <w:rPr>
          <w:rFonts w:ascii="Tahoma" w:hAnsi="Tahoma"/>
          <w:bCs/>
          <w:color w:val="000000" w:themeColor="text1"/>
          <w:spacing w:val="-3"/>
          <w:szCs w:val="28"/>
        </w:rPr>
        <w:t xml:space="preserve"> invite transfer-level English, Math, Counseling, and Library faculty to join us.  Please contact Carol Impara – </w:t>
      </w:r>
      <w:hyperlink r:id="rId9" w:history="1">
        <w:r w:rsidRPr="0072669D">
          <w:rPr>
            <w:rStyle w:val="Hyperlink"/>
            <w:rFonts w:ascii="Tahoma" w:hAnsi="Tahoma"/>
            <w:bCs/>
            <w:spacing w:val="-3"/>
            <w:szCs w:val="28"/>
          </w:rPr>
          <w:t>cimpara@mtsac.edu</w:t>
        </w:r>
      </w:hyperlink>
      <w:r>
        <w:rPr>
          <w:rFonts w:ascii="Tahoma" w:hAnsi="Tahoma"/>
          <w:bCs/>
          <w:color w:val="000000" w:themeColor="text1"/>
          <w:spacing w:val="-3"/>
          <w:szCs w:val="28"/>
        </w:rPr>
        <w:t xml:space="preserve"> for more information.</w:t>
      </w:r>
      <w:r w:rsidR="0053554D">
        <w:rPr>
          <w:rFonts w:ascii="Tahoma" w:hAnsi="Tahoma"/>
          <w:bCs/>
          <w:color w:val="7030A0"/>
          <w:spacing w:val="-3"/>
          <w:szCs w:val="28"/>
        </w:rPr>
        <w:br w:type="page"/>
      </w:r>
    </w:p>
    <w:p w14:paraId="0A189C5F" w14:textId="6F309360" w:rsidR="00BA479E" w:rsidRPr="00BA479E" w:rsidRDefault="00FD2E88" w:rsidP="00BA479E">
      <w:pPr>
        <w:pStyle w:val="Heading2"/>
        <w:spacing w:before="55"/>
        <w:rPr>
          <w:rFonts w:ascii="Tahoma" w:hAnsi="Tahoma"/>
          <w:bCs/>
          <w:color w:val="7030A0"/>
          <w:spacing w:val="-3"/>
          <w:szCs w:val="28"/>
        </w:rPr>
      </w:pPr>
      <w:r>
        <w:rPr>
          <w:rFonts w:ascii="Tahoma" w:hAnsi="Tahoma"/>
          <w:bCs/>
          <w:color w:val="7030A0"/>
          <w:spacing w:val="-3"/>
          <w:szCs w:val="28"/>
        </w:rPr>
        <w:lastRenderedPageBreak/>
        <w:t>SPOT Recertification</w:t>
      </w:r>
      <w:r w:rsidR="00BA479E">
        <w:rPr>
          <w:rFonts w:ascii="Tahoma" w:hAnsi="Tahoma"/>
          <w:bCs/>
          <w:color w:val="7030A0"/>
          <w:spacing w:val="-3"/>
          <w:szCs w:val="28"/>
        </w:rPr>
        <w:t xml:space="preserve"> Training Dates</w:t>
      </w:r>
    </w:p>
    <w:p w14:paraId="12A6C611" w14:textId="77777777" w:rsidR="00FD2E88" w:rsidRDefault="00FD2E88" w:rsidP="00FD2E8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37DCD591" w14:textId="5154E7A7" w:rsidR="00FD2E88" w:rsidRDefault="00FD2E88" w:rsidP="00FD2E8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The FCLT is offering a </w:t>
      </w:r>
      <w:r w:rsidRPr="00FD2E88">
        <w:rPr>
          <w:rFonts w:ascii="Calibri" w:hAnsi="Calibri"/>
          <w:i/>
          <w:color w:val="000000"/>
          <w:sz w:val="22"/>
          <w:szCs w:val="22"/>
          <w:bdr w:val="none" w:sz="0" w:space="0" w:color="auto" w:frame="1"/>
        </w:rPr>
        <w:t>synchronous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8F3D18">
        <w:rPr>
          <w:rFonts w:ascii="Calibri" w:hAnsi="Calibri"/>
          <w:b/>
          <w:color w:val="000000"/>
          <w:sz w:val="22"/>
          <w:szCs w:val="22"/>
          <w:bdr w:val="none" w:sz="0" w:space="0" w:color="auto" w:frame="1"/>
        </w:rPr>
        <w:t>SPOT Recertification Intensive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on </w:t>
      </w:r>
      <w:r w:rsidRPr="00FD2E88">
        <w:rPr>
          <w:rFonts w:ascii="Calibri" w:hAnsi="Calibri"/>
          <w:b/>
          <w:color w:val="000000"/>
          <w:sz w:val="22"/>
          <w:szCs w:val="22"/>
          <w:bdr w:val="none" w:sz="0" w:space="0" w:color="auto" w:frame="1"/>
        </w:rPr>
        <w:t>May 13, 2022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!  Attendance will fulfill SPOT Recertification requirements.  Attend one or all.  Sign up via </w:t>
      </w:r>
      <w:hyperlink r:id="rId10" w:anchor="m=2&amp;d=05/28/2022" w:history="1">
        <w:r w:rsidRPr="00FD2E88">
          <w:rPr>
            <w:rStyle w:val="Hyperlink"/>
            <w:rFonts w:ascii="Calibri" w:hAnsi="Calibri"/>
            <w:sz w:val="22"/>
            <w:szCs w:val="22"/>
            <w:bdr w:val="none" w:sz="0" w:space="0" w:color="auto" w:frame="1"/>
          </w:rPr>
          <w:t>POD Connect Calendar</w:t>
        </w:r>
      </w:hyperlink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.</w:t>
      </w:r>
    </w:p>
    <w:p w14:paraId="20D2085E" w14:textId="6473E9B1" w:rsidR="00FD2E88" w:rsidRDefault="00FD2E88" w:rsidP="00FD2E88">
      <w:pPr>
        <w:pStyle w:val="xxmsonormal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10 – 11 a.m. - Regulations Update for SPOT Recertification</w:t>
      </w:r>
    </w:p>
    <w:p w14:paraId="32A17489" w14:textId="1A92BD26" w:rsidR="00FD2E88" w:rsidRDefault="00FD2E88" w:rsidP="00FD2E88">
      <w:pPr>
        <w:pStyle w:val="xxmsonormal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11:15 – 12:15 p.m. - Strategies for Developing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eIntegrity</w:t>
      </w:r>
      <w:proofErr w:type="spellEnd"/>
    </w:p>
    <w:p w14:paraId="1F5A0E19" w14:textId="628C25EE" w:rsidR="00FD2E88" w:rsidRDefault="00FD2E88" w:rsidP="00FD2E88">
      <w:pPr>
        <w:pStyle w:val="xxmsonormal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12:30 – 1:30 p.m.  - 5 Tools to Make You an Accessibility Champ</w:t>
      </w:r>
    </w:p>
    <w:p w14:paraId="065517D9" w14:textId="224595AA" w:rsidR="00FD2E88" w:rsidRDefault="00FD2E88" w:rsidP="00FD2E88">
      <w:pPr>
        <w:pStyle w:val="xxmsonormal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1:45 – 2:45 p.m. - Humanizing Your Online Course – An Introduction</w:t>
      </w:r>
    </w:p>
    <w:p w14:paraId="57900D3F" w14:textId="4C58FFC1" w:rsidR="00FD2E88" w:rsidRDefault="00FD2E88" w:rsidP="00FD2E8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0D586F1A" w14:textId="0A5F56C0" w:rsidR="00FD2E88" w:rsidRDefault="00FD2E88" w:rsidP="00FD2E8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If you are not free Fridays, or prefer asynchronous options, note that the following self-paced sessions have been approved for SPOT Recertification and are availab</w:t>
      </w:r>
      <w:r w:rsidR="008F3D18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le through POD.  You may find them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under the “Featured Training” list on the homepage, or check the course cards </w:t>
      </w:r>
      <w:r w:rsidR="00FF7E6D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under Connect Home.</w:t>
      </w:r>
    </w:p>
    <w:p w14:paraId="5D6A2FCA" w14:textId="113003BD" w:rsidR="00FF7E6D" w:rsidRDefault="00FF7E6D" w:rsidP="00FF7E6D">
      <w:pPr>
        <w:pStyle w:val="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Regulations Update for SPOT Recertification (online)</w:t>
      </w:r>
    </w:p>
    <w:p w14:paraId="42D1CC5A" w14:textId="34D4E80C" w:rsidR="00FF7E6D" w:rsidRDefault="00FF7E6D" w:rsidP="00FF7E6D">
      <w:pPr>
        <w:pStyle w:val="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Easy and Engaging Videos in Canvas Studio, Part 1 (online)</w:t>
      </w:r>
    </w:p>
    <w:p w14:paraId="49F20410" w14:textId="66D6D58C" w:rsidR="00FF7E6D" w:rsidRDefault="00FF7E6D" w:rsidP="00FF7E6D">
      <w:pPr>
        <w:pStyle w:val="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Easy and Engaging Videos in Canvas Studio, Part 2 (online)</w:t>
      </w:r>
    </w:p>
    <w:p w14:paraId="5ACB36BF" w14:textId="4ECB5A7E" w:rsidR="00FF7E6D" w:rsidRDefault="00FF7E6D" w:rsidP="00FF7E6D">
      <w:pPr>
        <w:pStyle w:val="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Aligning Your Online Course with Section D of the CVC Rubric: Laying the Foundation (online)</w:t>
      </w:r>
    </w:p>
    <w:p w14:paraId="3D6A2446" w14:textId="77777777" w:rsidR="00FD2E88" w:rsidRDefault="00FD2E88" w:rsidP="00FD2E8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23093D50" w14:textId="6C5FF23C" w:rsidR="00FD2E88" w:rsidRDefault="00FD2E88" w:rsidP="00FD2E8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Please check out the </w:t>
      </w:r>
      <w:hyperlink r:id="rId11" w:history="1">
        <w:r w:rsidRPr="00DF1F68">
          <w:rPr>
            <w:rStyle w:val="Hyperlink"/>
            <w:rFonts w:ascii="Calibri" w:hAnsi="Calibri"/>
            <w:sz w:val="22"/>
            <w:szCs w:val="22"/>
            <w:bdr w:val="none" w:sz="0" w:space="0" w:color="auto" w:frame="1"/>
          </w:rPr>
          <w:t>SPOT Recertification</w:t>
        </w:r>
      </w:hyperlink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webpage for more information.</w:t>
      </w:r>
    </w:p>
    <w:p w14:paraId="3481F650" w14:textId="6A5B7E78" w:rsidR="00FD2E88" w:rsidRDefault="00FD2E88" w:rsidP="00FD2E8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17 of 37 SPOT-certified faculty have achieved SPOT recertification before their July 31, </w:t>
      </w:r>
      <w:proofErr w:type="gram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2022</w:t>
      </w:r>
      <w:proofErr w:type="gram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due date.  </w:t>
      </w:r>
    </w:p>
    <w:p w14:paraId="530FB49C" w14:textId="77777777" w:rsidR="00FF7E6D" w:rsidRDefault="00FF7E6D" w:rsidP="00FD2E8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5BE83B17" w14:textId="61F5C8BE" w:rsidR="00BA479E" w:rsidRPr="000B796E" w:rsidRDefault="00BA479E" w:rsidP="00BA479E">
      <w:pPr>
        <w:pStyle w:val="Heading2"/>
        <w:spacing w:before="55"/>
        <w:rPr>
          <w:rFonts w:ascii="Tahoma" w:hAnsi="Tahoma"/>
          <w:bCs/>
          <w:color w:val="7030A0"/>
          <w:spacing w:val="-3"/>
          <w:szCs w:val="28"/>
        </w:rPr>
      </w:pPr>
      <w:r>
        <w:rPr>
          <w:rFonts w:ascii="Tahoma" w:hAnsi="Tahoma"/>
          <w:bCs/>
          <w:color w:val="7030A0"/>
          <w:spacing w:val="-3"/>
          <w:szCs w:val="28"/>
        </w:rPr>
        <w:t>AP 4105 Revision; Accreditation Processes</w:t>
      </w:r>
    </w:p>
    <w:p w14:paraId="772FCB4D" w14:textId="2D2317F0" w:rsidR="00BA479E" w:rsidRDefault="00BA479E" w:rsidP="00BA479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115E2E20" w14:textId="0EAE1E61" w:rsidR="00BA479E" w:rsidRDefault="00BA479E" w:rsidP="00BA479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The DLC is currently revising AP 4105, which was last updated in 2016.  It should be ready to go to C&amp;I in May.   DLC was directed to review the REC (regular effective contact) Rubric created by the REC Rubric Task Force, update the rubric to reflect RSI (regular substantive interaction), and recommend a process for RSI review.  The DL program will launch a survey to determine faculty needs this Spring.</w:t>
      </w:r>
    </w:p>
    <w:p w14:paraId="06F26F57" w14:textId="77777777" w:rsidR="00BA479E" w:rsidRDefault="00BA479E" w:rsidP="00BA479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0E542688" w14:textId="274E8704" w:rsidR="00E91822" w:rsidRPr="000B796E" w:rsidRDefault="009E58BB" w:rsidP="00E91822">
      <w:pPr>
        <w:pStyle w:val="Heading2"/>
        <w:spacing w:before="55"/>
        <w:rPr>
          <w:rFonts w:ascii="Tahoma" w:hAnsi="Tahoma"/>
          <w:bCs/>
          <w:color w:val="7030A0"/>
          <w:spacing w:val="-3"/>
          <w:szCs w:val="28"/>
        </w:rPr>
      </w:pPr>
      <w:r>
        <w:rPr>
          <w:rFonts w:ascii="Tahoma" w:hAnsi="Tahoma"/>
          <w:bCs/>
          <w:color w:val="7030A0"/>
          <w:spacing w:val="-3"/>
          <w:szCs w:val="28"/>
        </w:rPr>
        <w:t>Distance Learning Amendment Form</w:t>
      </w:r>
      <w:r w:rsidR="00E91822" w:rsidRPr="000B796E">
        <w:rPr>
          <w:rFonts w:ascii="Tahoma" w:hAnsi="Tahoma"/>
          <w:bCs/>
          <w:color w:val="7030A0"/>
          <w:spacing w:val="-3"/>
          <w:szCs w:val="28"/>
        </w:rPr>
        <w:t>s</w:t>
      </w:r>
    </w:p>
    <w:p w14:paraId="2241C5A3" w14:textId="6C21AB6C" w:rsidR="008F313C" w:rsidRDefault="008F313C" w:rsidP="00E9182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33812E57" w14:textId="1702217E" w:rsidR="00FD2E88" w:rsidRDefault="002C6F03" w:rsidP="00E9182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DLC approved a</w:t>
      </w:r>
      <w:r w:rsidR="0053554D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bout 2</w:t>
      </w:r>
      <w:r w:rsidR="001B0EFD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56</w:t>
      </w:r>
      <w:r w:rsidR="0053554D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DL Forms since May 1, 2021.  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FD2E88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Academic Senate is voting on using the Smartsheet method of DL Amendment Form submission.   After the form is approved, we will update the webpage. </w:t>
      </w:r>
      <w:r w:rsidR="00BA479E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hyperlink r:id="rId12" w:history="1">
        <w:r w:rsidR="00FD2E88" w:rsidRPr="00D32645">
          <w:rPr>
            <w:rStyle w:val="Hyperlink"/>
            <w:rFonts w:ascii="Calibri" w:hAnsi="Calibri"/>
            <w:sz w:val="22"/>
            <w:szCs w:val="22"/>
            <w:bdr w:val="none" w:sz="0" w:space="0" w:color="auto" w:frame="1"/>
          </w:rPr>
          <w:t>https://www.mtsac.edu/dlc/dl-forms.html</w:t>
        </w:r>
      </w:hyperlink>
    </w:p>
    <w:p w14:paraId="0D6D5149" w14:textId="77777777" w:rsidR="00FD2E88" w:rsidRDefault="00FD2E88" w:rsidP="00E9182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68BD2716" w14:textId="77777777" w:rsidR="006C3F92" w:rsidRDefault="006C3F92" w:rsidP="00E9182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02D9FE21" w14:textId="2B5A798F" w:rsidR="00EA76F9" w:rsidRPr="000B796E" w:rsidRDefault="00EA76F9" w:rsidP="00EA76F9">
      <w:pPr>
        <w:pStyle w:val="Heading2"/>
        <w:spacing w:before="55"/>
        <w:rPr>
          <w:rFonts w:ascii="Tahoma" w:hAnsi="Tahoma"/>
          <w:bCs/>
          <w:color w:val="7030A0"/>
          <w:spacing w:val="-3"/>
          <w:szCs w:val="28"/>
        </w:rPr>
      </w:pPr>
      <w:r>
        <w:rPr>
          <w:rFonts w:ascii="Tahoma" w:hAnsi="Tahoma"/>
          <w:bCs/>
          <w:color w:val="7030A0"/>
          <w:spacing w:val="-3"/>
          <w:szCs w:val="28"/>
        </w:rPr>
        <w:t>POCR Update</w:t>
      </w:r>
    </w:p>
    <w:p w14:paraId="6D4729D0" w14:textId="64D998A2" w:rsidR="006E1AFC" w:rsidRDefault="006E1AFC" w:rsidP="00EA76F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287D98B0" w14:textId="7B30E93B" w:rsidR="00DF1F68" w:rsidRPr="008F061A" w:rsidRDefault="006E1AFC" w:rsidP="00DF1F6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Since September 2021, the POCR team has aligned </w:t>
      </w:r>
      <w:r w:rsidR="00BA479E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11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courses</w:t>
      </w:r>
      <w:r w:rsidR="00DF1F68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.  </w:t>
      </w:r>
      <w:r w:rsidR="00BA479E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The POCR team is seeking continued funding.  The SEAP Grant is expiring as of June 31, 2022.</w:t>
      </w:r>
    </w:p>
    <w:p w14:paraId="5D76E7F9" w14:textId="77777777" w:rsidR="00451B80" w:rsidRPr="00D83C2A" w:rsidRDefault="00451B80" w:rsidP="007F3C48">
      <w:pPr>
        <w:rPr>
          <w:rFonts w:cstheme="minorHAnsi"/>
          <w:bCs/>
        </w:rPr>
      </w:pPr>
    </w:p>
    <w:p w14:paraId="294EE52C" w14:textId="18657D2E" w:rsidR="007F3C48" w:rsidRPr="008F061A" w:rsidRDefault="007F3C48" w:rsidP="007F3C48">
      <w:pPr>
        <w:rPr>
          <w:rFonts w:cstheme="minorHAnsi"/>
        </w:rPr>
      </w:pPr>
      <w:r w:rsidRPr="008F061A">
        <w:rPr>
          <w:rFonts w:cstheme="minorHAnsi"/>
        </w:rPr>
        <w:t>Respectfully submitted,</w:t>
      </w:r>
    </w:p>
    <w:p w14:paraId="00274CFB" w14:textId="7E809955" w:rsidR="007F3C48" w:rsidRPr="008F061A" w:rsidRDefault="007F3C48" w:rsidP="007F3C48">
      <w:pPr>
        <w:rPr>
          <w:rFonts w:cstheme="minorHAnsi"/>
        </w:rPr>
      </w:pPr>
      <w:r w:rsidRPr="008F061A">
        <w:rPr>
          <w:rFonts w:cstheme="minorHAnsi"/>
        </w:rPr>
        <w:t>Carol Impara</w:t>
      </w:r>
    </w:p>
    <w:p w14:paraId="26874618" w14:textId="4C9E3743" w:rsidR="007F3C48" w:rsidRDefault="007F3C48" w:rsidP="007F3C48">
      <w:pPr>
        <w:rPr>
          <w:rFonts w:cstheme="minorHAnsi"/>
        </w:rPr>
      </w:pPr>
      <w:r w:rsidRPr="008F061A">
        <w:rPr>
          <w:rFonts w:cstheme="minorHAnsi"/>
        </w:rPr>
        <w:t>Distance Learning Faculty Coordinator</w:t>
      </w:r>
    </w:p>
    <w:p w14:paraId="6CBAE578" w14:textId="6250524B" w:rsidR="0063104F" w:rsidRDefault="0063104F" w:rsidP="007F3C48">
      <w:pPr>
        <w:rPr>
          <w:rFonts w:cstheme="minorHAnsi"/>
        </w:rPr>
      </w:pPr>
      <w:r>
        <w:rPr>
          <w:rFonts w:cstheme="minorHAnsi"/>
        </w:rPr>
        <w:t>POCR Lead</w:t>
      </w:r>
    </w:p>
    <w:p w14:paraId="3B2CA057" w14:textId="6DCA3FDA" w:rsidR="009942E8" w:rsidRPr="008F061A" w:rsidRDefault="009942E8" w:rsidP="007F3C48">
      <w:pPr>
        <w:rPr>
          <w:rFonts w:cstheme="minorHAnsi"/>
        </w:rPr>
      </w:pPr>
      <w:r>
        <w:rPr>
          <w:rFonts w:cstheme="minorHAnsi"/>
        </w:rPr>
        <w:t>cimpara@mtsac.edu</w:t>
      </w:r>
    </w:p>
    <w:sectPr w:rsidR="009942E8" w:rsidRPr="008F061A" w:rsidSect="00A8453C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8FF5" w14:textId="77777777" w:rsidR="00181F3C" w:rsidRDefault="00181F3C" w:rsidP="00B83E6D">
      <w:r>
        <w:separator/>
      </w:r>
    </w:p>
  </w:endnote>
  <w:endnote w:type="continuationSeparator" w:id="0">
    <w:p w14:paraId="2C5E6272" w14:textId="77777777" w:rsidR="00181F3C" w:rsidRDefault="00181F3C" w:rsidP="00B8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98E2" w14:textId="77777777" w:rsidR="00160AFC" w:rsidRDefault="00160AFC" w:rsidP="00B83E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53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11467075" w:rsidR="00160AFC" w:rsidRDefault="00160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D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431CDC" w14:textId="77777777" w:rsidR="00160AFC" w:rsidRDefault="00160AFC" w:rsidP="00B83E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01C0" w14:textId="77777777" w:rsidR="00181F3C" w:rsidRDefault="00181F3C" w:rsidP="00B83E6D">
      <w:r>
        <w:separator/>
      </w:r>
    </w:p>
  </w:footnote>
  <w:footnote w:type="continuationSeparator" w:id="0">
    <w:p w14:paraId="019BCBC7" w14:textId="77777777" w:rsidR="00181F3C" w:rsidRDefault="00181F3C" w:rsidP="00B8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A59C" w14:textId="44738A21" w:rsidR="006320B6" w:rsidRDefault="006320B6">
    <w:pPr>
      <w:pStyle w:val="Header"/>
    </w:pPr>
    <w:r>
      <w:t xml:space="preserve">DLC Report </w:t>
    </w:r>
    <w:r w:rsidR="006F15F1">
      <w:t>10/13/</w:t>
    </w:r>
    <w:r w:rsidR="0055667A">
      <w:t>202</w:t>
    </w:r>
    <w:r w:rsidR="006F15F1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CA0E" w14:textId="6034F308" w:rsidR="006320B6" w:rsidRDefault="006320B6">
    <w:pPr>
      <w:pStyle w:val="Header"/>
    </w:pPr>
    <w:r>
      <w:t>DLC Report 9/3/2020</w:t>
    </w:r>
  </w:p>
  <w:p w14:paraId="7A0D74C0" w14:textId="77777777" w:rsidR="006320B6" w:rsidRDefault="00632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469"/>
    <w:multiLevelType w:val="hybridMultilevel"/>
    <w:tmpl w:val="E092D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B5F87"/>
    <w:multiLevelType w:val="multilevel"/>
    <w:tmpl w:val="FABE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86FFD"/>
    <w:multiLevelType w:val="hybridMultilevel"/>
    <w:tmpl w:val="086A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431"/>
    <w:multiLevelType w:val="multilevel"/>
    <w:tmpl w:val="57D4F7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80A81"/>
    <w:multiLevelType w:val="hybridMultilevel"/>
    <w:tmpl w:val="90A8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15FBE"/>
    <w:multiLevelType w:val="hybridMultilevel"/>
    <w:tmpl w:val="9A62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A49E9"/>
    <w:multiLevelType w:val="hybridMultilevel"/>
    <w:tmpl w:val="8828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F424B"/>
    <w:multiLevelType w:val="multilevel"/>
    <w:tmpl w:val="CE845A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C5D66"/>
    <w:multiLevelType w:val="multilevel"/>
    <w:tmpl w:val="BAE6A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E0744"/>
    <w:multiLevelType w:val="multilevel"/>
    <w:tmpl w:val="B9F2F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F6135"/>
    <w:multiLevelType w:val="multilevel"/>
    <w:tmpl w:val="E566097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96D47"/>
    <w:multiLevelType w:val="hybridMultilevel"/>
    <w:tmpl w:val="F3C6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572B8"/>
    <w:multiLevelType w:val="multilevel"/>
    <w:tmpl w:val="A7DA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82726"/>
    <w:multiLevelType w:val="multilevel"/>
    <w:tmpl w:val="3A7881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46FBC"/>
    <w:multiLevelType w:val="multilevel"/>
    <w:tmpl w:val="83721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730F1"/>
    <w:multiLevelType w:val="hybridMultilevel"/>
    <w:tmpl w:val="B3E2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A7B01"/>
    <w:multiLevelType w:val="multilevel"/>
    <w:tmpl w:val="596AC7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C4CF6"/>
    <w:multiLevelType w:val="hybridMultilevel"/>
    <w:tmpl w:val="63A2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16C51"/>
    <w:multiLevelType w:val="hybridMultilevel"/>
    <w:tmpl w:val="71CC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95BE0"/>
    <w:multiLevelType w:val="hybridMultilevel"/>
    <w:tmpl w:val="B01E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628EB"/>
    <w:multiLevelType w:val="hybridMultilevel"/>
    <w:tmpl w:val="062E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84CAB"/>
    <w:multiLevelType w:val="hybridMultilevel"/>
    <w:tmpl w:val="193A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D1791"/>
    <w:multiLevelType w:val="multilevel"/>
    <w:tmpl w:val="9334BE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2A63AA"/>
    <w:multiLevelType w:val="multilevel"/>
    <w:tmpl w:val="7B889C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B477B1"/>
    <w:multiLevelType w:val="hybridMultilevel"/>
    <w:tmpl w:val="3348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B7688"/>
    <w:multiLevelType w:val="hybridMultilevel"/>
    <w:tmpl w:val="26666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F56BE"/>
    <w:multiLevelType w:val="multilevel"/>
    <w:tmpl w:val="08923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B145F1"/>
    <w:multiLevelType w:val="multilevel"/>
    <w:tmpl w:val="E40AF0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1227DB"/>
    <w:multiLevelType w:val="multilevel"/>
    <w:tmpl w:val="77CEB3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ED4916"/>
    <w:multiLevelType w:val="multilevel"/>
    <w:tmpl w:val="205826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2F1DE7"/>
    <w:multiLevelType w:val="hybridMultilevel"/>
    <w:tmpl w:val="9B24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24"/>
  </w:num>
  <w:num w:numId="5">
    <w:abstractNumId w:val="12"/>
  </w:num>
  <w:num w:numId="6">
    <w:abstractNumId w:val="3"/>
  </w:num>
  <w:num w:numId="7">
    <w:abstractNumId w:val="27"/>
  </w:num>
  <w:num w:numId="8">
    <w:abstractNumId w:val="16"/>
  </w:num>
  <w:num w:numId="9">
    <w:abstractNumId w:val="10"/>
  </w:num>
  <w:num w:numId="10">
    <w:abstractNumId w:val="8"/>
  </w:num>
  <w:num w:numId="11">
    <w:abstractNumId w:val="14"/>
  </w:num>
  <w:num w:numId="12">
    <w:abstractNumId w:val="26"/>
  </w:num>
  <w:num w:numId="13">
    <w:abstractNumId w:val="23"/>
  </w:num>
  <w:num w:numId="14">
    <w:abstractNumId w:val="13"/>
  </w:num>
  <w:num w:numId="15">
    <w:abstractNumId w:val="7"/>
  </w:num>
  <w:num w:numId="16">
    <w:abstractNumId w:val="22"/>
  </w:num>
  <w:num w:numId="17">
    <w:abstractNumId w:val="9"/>
  </w:num>
  <w:num w:numId="18">
    <w:abstractNumId w:val="28"/>
  </w:num>
  <w:num w:numId="19">
    <w:abstractNumId w:val="29"/>
  </w:num>
  <w:num w:numId="20">
    <w:abstractNumId w:val="18"/>
  </w:num>
  <w:num w:numId="21">
    <w:abstractNumId w:val="30"/>
  </w:num>
  <w:num w:numId="22">
    <w:abstractNumId w:val="5"/>
  </w:num>
  <w:num w:numId="23">
    <w:abstractNumId w:val="21"/>
  </w:num>
  <w:num w:numId="24">
    <w:abstractNumId w:val="0"/>
  </w:num>
  <w:num w:numId="25">
    <w:abstractNumId w:val="20"/>
  </w:num>
  <w:num w:numId="26">
    <w:abstractNumId w:val="25"/>
  </w:num>
  <w:num w:numId="27">
    <w:abstractNumId w:val="6"/>
  </w:num>
  <w:num w:numId="28">
    <w:abstractNumId w:val="15"/>
  </w:num>
  <w:num w:numId="29">
    <w:abstractNumId w:val="11"/>
  </w:num>
  <w:num w:numId="30">
    <w:abstractNumId w:val="19"/>
  </w:num>
  <w:num w:numId="3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ED"/>
    <w:rsid w:val="0000590D"/>
    <w:rsid w:val="00020A65"/>
    <w:rsid w:val="0003111D"/>
    <w:rsid w:val="000558D3"/>
    <w:rsid w:val="00064796"/>
    <w:rsid w:val="00072CE8"/>
    <w:rsid w:val="000B796E"/>
    <w:rsid w:val="000D1C97"/>
    <w:rsid w:val="000D352B"/>
    <w:rsid w:val="00100A77"/>
    <w:rsid w:val="00101215"/>
    <w:rsid w:val="0012097A"/>
    <w:rsid w:val="00141726"/>
    <w:rsid w:val="00160AFC"/>
    <w:rsid w:val="00170B08"/>
    <w:rsid w:val="001734D1"/>
    <w:rsid w:val="001752B8"/>
    <w:rsid w:val="00181F3C"/>
    <w:rsid w:val="0019587D"/>
    <w:rsid w:val="00197034"/>
    <w:rsid w:val="001A2866"/>
    <w:rsid w:val="001A34E4"/>
    <w:rsid w:val="001B0EFD"/>
    <w:rsid w:val="001B216D"/>
    <w:rsid w:val="001B5085"/>
    <w:rsid w:val="001C15EF"/>
    <w:rsid w:val="001E658C"/>
    <w:rsid w:val="001F0049"/>
    <w:rsid w:val="001F68E2"/>
    <w:rsid w:val="0020699F"/>
    <w:rsid w:val="00226376"/>
    <w:rsid w:val="002271F6"/>
    <w:rsid w:val="0025050A"/>
    <w:rsid w:val="00253E13"/>
    <w:rsid w:val="00271BD0"/>
    <w:rsid w:val="002B5895"/>
    <w:rsid w:val="002C6F03"/>
    <w:rsid w:val="002E0558"/>
    <w:rsid w:val="002E1435"/>
    <w:rsid w:val="002E5264"/>
    <w:rsid w:val="002F4C1F"/>
    <w:rsid w:val="00315321"/>
    <w:rsid w:val="0032185A"/>
    <w:rsid w:val="00342B84"/>
    <w:rsid w:val="00343C71"/>
    <w:rsid w:val="0034736A"/>
    <w:rsid w:val="003562AE"/>
    <w:rsid w:val="003937BB"/>
    <w:rsid w:val="003A1D80"/>
    <w:rsid w:val="003B39FE"/>
    <w:rsid w:val="003B4AC6"/>
    <w:rsid w:val="00402325"/>
    <w:rsid w:val="00451B80"/>
    <w:rsid w:val="00452A06"/>
    <w:rsid w:val="00457203"/>
    <w:rsid w:val="00472224"/>
    <w:rsid w:val="004913EB"/>
    <w:rsid w:val="0049216E"/>
    <w:rsid w:val="00497C2A"/>
    <w:rsid w:val="004A4A33"/>
    <w:rsid w:val="004B5475"/>
    <w:rsid w:val="004C0088"/>
    <w:rsid w:val="004F1F22"/>
    <w:rsid w:val="00507919"/>
    <w:rsid w:val="00510918"/>
    <w:rsid w:val="0053554D"/>
    <w:rsid w:val="0055667A"/>
    <w:rsid w:val="00556883"/>
    <w:rsid w:val="00560A01"/>
    <w:rsid w:val="00572EAD"/>
    <w:rsid w:val="005926CB"/>
    <w:rsid w:val="00597345"/>
    <w:rsid w:val="005A0E96"/>
    <w:rsid w:val="005A418A"/>
    <w:rsid w:val="005C28EB"/>
    <w:rsid w:val="005E6C8B"/>
    <w:rsid w:val="005F6AD0"/>
    <w:rsid w:val="005F6D1E"/>
    <w:rsid w:val="00600101"/>
    <w:rsid w:val="006064BE"/>
    <w:rsid w:val="0063104F"/>
    <w:rsid w:val="006320B6"/>
    <w:rsid w:val="006548B9"/>
    <w:rsid w:val="00665ECD"/>
    <w:rsid w:val="00670039"/>
    <w:rsid w:val="00673827"/>
    <w:rsid w:val="0069662C"/>
    <w:rsid w:val="006B0D99"/>
    <w:rsid w:val="006B203E"/>
    <w:rsid w:val="006C3F92"/>
    <w:rsid w:val="006C6C06"/>
    <w:rsid w:val="006D7999"/>
    <w:rsid w:val="006E1AFC"/>
    <w:rsid w:val="006F0F99"/>
    <w:rsid w:val="006F15F1"/>
    <w:rsid w:val="007012F7"/>
    <w:rsid w:val="00766F31"/>
    <w:rsid w:val="00770756"/>
    <w:rsid w:val="00773731"/>
    <w:rsid w:val="007758A0"/>
    <w:rsid w:val="00776B7B"/>
    <w:rsid w:val="00796DCB"/>
    <w:rsid w:val="007A79B1"/>
    <w:rsid w:val="007C51D5"/>
    <w:rsid w:val="007D10AF"/>
    <w:rsid w:val="007F3C48"/>
    <w:rsid w:val="007F5116"/>
    <w:rsid w:val="00805F13"/>
    <w:rsid w:val="00820BDF"/>
    <w:rsid w:val="00820E0A"/>
    <w:rsid w:val="008225FC"/>
    <w:rsid w:val="00824DBA"/>
    <w:rsid w:val="00832067"/>
    <w:rsid w:val="008441BC"/>
    <w:rsid w:val="00852A53"/>
    <w:rsid w:val="008642E1"/>
    <w:rsid w:val="00881F00"/>
    <w:rsid w:val="008B6B3A"/>
    <w:rsid w:val="008B7474"/>
    <w:rsid w:val="008E7A4C"/>
    <w:rsid w:val="008F061A"/>
    <w:rsid w:val="008F16F6"/>
    <w:rsid w:val="008F313C"/>
    <w:rsid w:val="008F3D18"/>
    <w:rsid w:val="0090386C"/>
    <w:rsid w:val="0090470F"/>
    <w:rsid w:val="0092425A"/>
    <w:rsid w:val="00936977"/>
    <w:rsid w:val="0095066A"/>
    <w:rsid w:val="009915AF"/>
    <w:rsid w:val="009942E8"/>
    <w:rsid w:val="009A1584"/>
    <w:rsid w:val="009D243B"/>
    <w:rsid w:val="009E58BB"/>
    <w:rsid w:val="009F68ED"/>
    <w:rsid w:val="00A01380"/>
    <w:rsid w:val="00A16DFB"/>
    <w:rsid w:val="00A2380D"/>
    <w:rsid w:val="00A27FB7"/>
    <w:rsid w:val="00A3520B"/>
    <w:rsid w:val="00A44CF8"/>
    <w:rsid w:val="00A47D6A"/>
    <w:rsid w:val="00A5620C"/>
    <w:rsid w:val="00A7051C"/>
    <w:rsid w:val="00A8453C"/>
    <w:rsid w:val="00AA6827"/>
    <w:rsid w:val="00AB1F55"/>
    <w:rsid w:val="00AF19F4"/>
    <w:rsid w:val="00B26871"/>
    <w:rsid w:val="00B6206A"/>
    <w:rsid w:val="00B82868"/>
    <w:rsid w:val="00B83A88"/>
    <w:rsid w:val="00B83E6D"/>
    <w:rsid w:val="00B97039"/>
    <w:rsid w:val="00BA06E1"/>
    <w:rsid w:val="00BA19F9"/>
    <w:rsid w:val="00BA278B"/>
    <w:rsid w:val="00BA479E"/>
    <w:rsid w:val="00BA5B11"/>
    <w:rsid w:val="00BB2EED"/>
    <w:rsid w:val="00BB4853"/>
    <w:rsid w:val="00BC07F6"/>
    <w:rsid w:val="00BC1640"/>
    <w:rsid w:val="00BD2A9E"/>
    <w:rsid w:val="00BD7523"/>
    <w:rsid w:val="00BE6D75"/>
    <w:rsid w:val="00BF146D"/>
    <w:rsid w:val="00C01D6C"/>
    <w:rsid w:val="00C034F3"/>
    <w:rsid w:val="00C17660"/>
    <w:rsid w:val="00C30781"/>
    <w:rsid w:val="00C3441D"/>
    <w:rsid w:val="00C40CB8"/>
    <w:rsid w:val="00C46B61"/>
    <w:rsid w:val="00C518A1"/>
    <w:rsid w:val="00C60BD3"/>
    <w:rsid w:val="00C636A0"/>
    <w:rsid w:val="00C71CC8"/>
    <w:rsid w:val="00CB2B39"/>
    <w:rsid w:val="00CB387A"/>
    <w:rsid w:val="00CB43DA"/>
    <w:rsid w:val="00CC708C"/>
    <w:rsid w:val="00CE1028"/>
    <w:rsid w:val="00CE2C00"/>
    <w:rsid w:val="00CE5D24"/>
    <w:rsid w:val="00CF1EA5"/>
    <w:rsid w:val="00D017E0"/>
    <w:rsid w:val="00D0261E"/>
    <w:rsid w:val="00D04A64"/>
    <w:rsid w:val="00D13271"/>
    <w:rsid w:val="00D17025"/>
    <w:rsid w:val="00D27727"/>
    <w:rsid w:val="00D4196C"/>
    <w:rsid w:val="00D62A31"/>
    <w:rsid w:val="00D64718"/>
    <w:rsid w:val="00D83C2A"/>
    <w:rsid w:val="00D938EF"/>
    <w:rsid w:val="00DA6722"/>
    <w:rsid w:val="00DA6A84"/>
    <w:rsid w:val="00DB77A6"/>
    <w:rsid w:val="00DE2B9C"/>
    <w:rsid w:val="00DE49C0"/>
    <w:rsid w:val="00DF1F68"/>
    <w:rsid w:val="00E12459"/>
    <w:rsid w:val="00E301CF"/>
    <w:rsid w:val="00E329B5"/>
    <w:rsid w:val="00E620A8"/>
    <w:rsid w:val="00E91822"/>
    <w:rsid w:val="00EA1716"/>
    <w:rsid w:val="00EA76F9"/>
    <w:rsid w:val="00EB127D"/>
    <w:rsid w:val="00EB5987"/>
    <w:rsid w:val="00EC00BB"/>
    <w:rsid w:val="00ED17A7"/>
    <w:rsid w:val="00ED1D4F"/>
    <w:rsid w:val="00ED2BBD"/>
    <w:rsid w:val="00ED7327"/>
    <w:rsid w:val="00EE13D8"/>
    <w:rsid w:val="00EE320B"/>
    <w:rsid w:val="00EF02ED"/>
    <w:rsid w:val="00EF086E"/>
    <w:rsid w:val="00EF69EC"/>
    <w:rsid w:val="00F01DE7"/>
    <w:rsid w:val="00F05016"/>
    <w:rsid w:val="00F071C7"/>
    <w:rsid w:val="00F12783"/>
    <w:rsid w:val="00F75B9B"/>
    <w:rsid w:val="00F8090D"/>
    <w:rsid w:val="00F85B2A"/>
    <w:rsid w:val="00F8680D"/>
    <w:rsid w:val="00F9111D"/>
    <w:rsid w:val="00FB6D77"/>
    <w:rsid w:val="00FD2B47"/>
    <w:rsid w:val="00FD2E88"/>
    <w:rsid w:val="00FF23C1"/>
    <w:rsid w:val="00FF7E6D"/>
    <w:rsid w:val="2386264B"/>
    <w:rsid w:val="340527C7"/>
    <w:rsid w:val="5A921C56"/>
    <w:rsid w:val="67F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F6ADB"/>
  <w15:chartTrackingRefBased/>
  <w15:docId w15:val="{55557F43-F9B7-48E7-BEA9-8AB80B4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5D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E5D24"/>
    <w:pPr>
      <w:spacing w:before="18"/>
      <w:ind w:left="100"/>
      <w:outlineLvl w:val="0"/>
    </w:pPr>
    <w:rPr>
      <w:rFonts w:ascii="Cambria" w:eastAsia="Cambria" w:hAnsi="Cambri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B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3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B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E5D24"/>
    <w:rPr>
      <w:rFonts w:ascii="Cambria" w:eastAsia="Cambria" w:hAnsi="Cambri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46B61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odyText">
    <w:name w:val="Body Text"/>
    <w:basedOn w:val="Normal"/>
    <w:link w:val="BodyTextChar"/>
    <w:uiPriority w:val="1"/>
    <w:qFormat/>
    <w:rsid w:val="00CE5D24"/>
    <w:pPr>
      <w:spacing w:before="11"/>
      <w:ind w:left="444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5D24"/>
    <w:rPr>
      <w:rFonts w:ascii="Calibri" w:eastAsia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CB4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D"/>
  </w:style>
  <w:style w:type="paragraph" w:styleId="Footer">
    <w:name w:val="footer"/>
    <w:basedOn w:val="Normal"/>
    <w:link w:val="Foot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6D"/>
  </w:style>
  <w:style w:type="character" w:styleId="IntenseReference">
    <w:name w:val="Intense Reference"/>
    <w:basedOn w:val="DefaultParagraphFont"/>
    <w:uiPriority w:val="32"/>
    <w:qFormat/>
    <w:rsid w:val="00472224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72224"/>
    <w:rPr>
      <w:i/>
      <w:iCs/>
      <w:color w:val="5B9BD5" w:themeColor="accent1"/>
    </w:rPr>
  </w:style>
  <w:style w:type="paragraph" w:customStyle="1" w:styleId="TableParagraph">
    <w:name w:val="Table Paragraph"/>
    <w:basedOn w:val="Normal"/>
    <w:uiPriority w:val="1"/>
    <w:qFormat/>
    <w:rsid w:val="00673827"/>
  </w:style>
  <w:style w:type="paragraph" w:customStyle="1" w:styleId="Default">
    <w:name w:val="Default"/>
    <w:rsid w:val="00A44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customStyle="1" w:styleId="ReportTitle">
    <w:name w:val="Report Title"/>
    <w:basedOn w:val="Heading1"/>
    <w:uiPriority w:val="1"/>
    <w:qFormat/>
    <w:rsid w:val="001B216D"/>
    <w:pPr>
      <w:jc w:val="center"/>
    </w:pPr>
    <w:rPr>
      <w:b/>
      <w:spacing w:val="-12"/>
      <w:sz w:val="36"/>
    </w:rPr>
  </w:style>
  <w:style w:type="paragraph" w:customStyle="1" w:styleId="paragraph">
    <w:name w:val="paragraph"/>
    <w:basedOn w:val="Normal"/>
    <w:rsid w:val="005973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97345"/>
  </w:style>
  <w:style w:type="character" w:customStyle="1" w:styleId="eop">
    <w:name w:val="eop"/>
    <w:basedOn w:val="DefaultParagraphFont"/>
    <w:rsid w:val="00597345"/>
  </w:style>
  <w:style w:type="character" w:styleId="FollowedHyperlink">
    <w:name w:val="FollowedHyperlink"/>
    <w:basedOn w:val="DefaultParagraphFont"/>
    <w:uiPriority w:val="99"/>
    <w:semiHidden/>
    <w:unhideWhenUsed/>
    <w:rsid w:val="00FF23C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F23C1"/>
    <w:rPr>
      <w:color w:val="605E5C"/>
      <w:shd w:val="clear" w:color="auto" w:fill="E1DFDD"/>
    </w:rPr>
  </w:style>
  <w:style w:type="paragraph" w:customStyle="1" w:styleId="xxxxmsonormal">
    <w:name w:val="x_x_xxmsonormal"/>
    <w:basedOn w:val="Normal"/>
    <w:rsid w:val="007F3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6B61"/>
    <w:rPr>
      <w:rFonts w:asciiTheme="majorHAnsi" w:eastAsiaTheme="majorEastAsia" w:hAnsiTheme="majorHAnsi" w:cstheme="majorBidi"/>
      <w:b/>
      <w:i/>
      <w:iCs/>
      <w:color w:val="000000" w:themeColor="text1"/>
    </w:rPr>
  </w:style>
  <w:style w:type="paragraph" w:customStyle="1" w:styleId="xxmsonormal">
    <w:name w:val="x_x_msonormal"/>
    <w:basedOn w:val="Normal"/>
    <w:rsid w:val="00E918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elementtoproof">
    <w:name w:val="x_x_x_x_elementtoproof"/>
    <w:basedOn w:val="DefaultParagraphFont"/>
    <w:rsid w:val="00DE2B9C"/>
  </w:style>
  <w:style w:type="paragraph" w:customStyle="1" w:styleId="elementtoproof">
    <w:name w:val="elementtoproof"/>
    <w:basedOn w:val="Normal"/>
    <w:rsid w:val="00A27F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r.org/2022/08/25/1119337956/test-proctoring-room-scans-unconstitutional-cleveland-state-university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tsac.edu/dlc/dl-form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tsac.edu/distancelearning/spotrecer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ccpln.csod.com/LMS/catalog/EventsCalendar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mpara@mtsac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7F47-2426-45A6-9A42-9866A2B1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DLC Year End report to academic senate - 2019</vt:lpstr>
    </vt:vector>
  </TitlesOfParts>
  <Company>Mt. San Antonio College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DLC Year End report to academic senate - 2019</dc:title>
  <dc:subject/>
  <dc:creator>Impara, Carol</dc:creator>
  <cp:keywords/>
  <dc:description/>
  <cp:lastModifiedBy>Impara, Carol</cp:lastModifiedBy>
  <cp:revision>6</cp:revision>
  <cp:lastPrinted>2019-03-13T23:53:00Z</cp:lastPrinted>
  <dcterms:created xsi:type="dcterms:W3CDTF">2022-10-05T22:03:00Z</dcterms:created>
  <dcterms:modified xsi:type="dcterms:W3CDTF">2022-10-06T22:47:00Z</dcterms:modified>
</cp:coreProperties>
</file>